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7BA17">
      <w:pPr>
        <w:spacing w:line="560" w:lineRule="exact"/>
        <w:jc w:val="center"/>
        <w:rPr>
          <w:rFonts w:hint="eastAsia" w:ascii="方正小标宋简体" w:hAnsi="方正小标宋简体" w:eastAsia="方正小标宋简体" w:cs="方正小标宋简体"/>
          <w:b/>
          <w:bCs/>
          <w:color w:val="000000"/>
          <w:spacing w:val="14"/>
          <w:sz w:val="44"/>
          <w:szCs w:val="44"/>
        </w:rPr>
      </w:pPr>
      <w:r>
        <w:rPr>
          <w:rFonts w:hint="eastAsia" w:ascii="方正小标宋简体" w:hAnsi="方正小标宋简体" w:eastAsia="方正小标宋简体" w:cs="方正小标宋简体"/>
          <w:b/>
          <w:bCs/>
          <w:color w:val="000000"/>
          <w:spacing w:val="14"/>
          <w:sz w:val="44"/>
          <w:szCs w:val="44"/>
        </w:rPr>
        <w:t>招标公告-1（投标人资料初审）</w:t>
      </w:r>
    </w:p>
    <w:p w14:paraId="559AFE6A">
      <w:pPr>
        <w:pStyle w:val="3"/>
        <w:spacing w:line="560" w:lineRule="exact"/>
        <w:ind w:right="0" w:rightChars="0"/>
        <w:rPr>
          <w:rFonts w:hint="eastAsia" w:ascii="仿宋_GB2312" w:hAnsi="仿宋_GB2312" w:eastAsia="仿宋_GB2312" w:cs="仿宋_GB2312"/>
          <w:b w:val="0"/>
          <w:bCs/>
          <w:color w:val="000000"/>
          <w:sz w:val="32"/>
        </w:rPr>
      </w:pPr>
    </w:p>
    <w:p w14:paraId="361EFE4D">
      <w:pPr>
        <w:spacing w:line="56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一、采购项目概况</w:t>
      </w:r>
    </w:p>
    <w:p w14:paraId="5E0EA8FC">
      <w:pPr>
        <w:pStyle w:val="3"/>
        <w:spacing w:line="56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7375C3A7">
      <w:pPr>
        <w:pStyle w:val="3"/>
        <w:spacing w:line="560" w:lineRule="exact"/>
        <w:ind w:right="0" w:rightChars="0" w:firstLine="640" w:firstLineChars="200"/>
        <w:rPr>
          <w:rFonts w:hint="eastAsia" w:ascii="仿宋_GB2312" w:hAnsi="仿宋_GB2312" w:eastAsia="仿宋_GB2312" w:cs="仿宋_GB2312"/>
          <w:b w:val="0"/>
          <w:bCs/>
          <w:color w:val="000000"/>
          <w:sz w:val="32"/>
        </w:rPr>
      </w:pPr>
      <w:bookmarkStart w:id="0" w:name="OLE_LINK1"/>
      <w:r>
        <w:rPr>
          <w:rFonts w:hint="eastAsia" w:ascii="仿宋_GB2312" w:hAnsi="仿宋_GB2312" w:eastAsia="仿宋_GB2312" w:cs="仿宋_GB2312"/>
          <w:b w:val="0"/>
          <w:bCs/>
          <w:color w:val="000000"/>
          <w:sz w:val="32"/>
        </w:rPr>
        <w:t>采购项目：院内投放自动售货机及共享充电设备合作</w:t>
      </w:r>
    </w:p>
    <w:p w14:paraId="07DFE465">
      <w:pPr>
        <w:pStyle w:val="3"/>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rPr>
      </w:pPr>
      <w:r>
        <w:rPr>
          <w:rFonts w:hint="eastAsia" w:ascii="仿宋_GB2312" w:hAnsi="仿宋_GB2312" w:eastAsia="仿宋_GB2312" w:cs="仿宋_GB2312"/>
          <w:b w:val="0"/>
          <w:bCs/>
          <w:color w:val="000000"/>
          <w:sz w:val="32"/>
        </w:rPr>
        <w:t>预算金额：管理费</w:t>
      </w:r>
      <w:r>
        <w:rPr>
          <w:rFonts w:ascii="仿宋_GB2312" w:hAnsi="仿宋_GB2312" w:eastAsia="仿宋_GB2312" w:cs="仿宋_GB2312"/>
          <w:b w:val="0"/>
          <w:bCs/>
          <w:color w:val="000000"/>
          <w:sz w:val="32"/>
          <w:shd w:val="clear" w:color="auto" w:fill="FFFFFF"/>
        </w:rPr>
        <w:t>12592.60</w:t>
      </w:r>
      <w:r>
        <w:rPr>
          <w:rFonts w:hint="eastAsia" w:ascii="仿宋_GB2312" w:hAnsi="仿宋_GB2312" w:eastAsia="仿宋_GB2312" w:cs="仿宋_GB2312"/>
          <w:b w:val="0"/>
          <w:bCs/>
          <w:color w:val="000000"/>
          <w:sz w:val="32"/>
          <w:shd w:val="clear" w:color="auto" w:fill="FFFFFF"/>
        </w:rPr>
        <w:t>元，不包含设备运营产生的电费</w:t>
      </w:r>
    </w:p>
    <w:p w14:paraId="33499A95">
      <w:pPr>
        <w:pStyle w:val="3"/>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color w:val="000000"/>
          <w:sz w:val="32"/>
          <w:shd w:val="clear" w:color="auto" w:fill="FFFFFF"/>
        </w:rPr>
        <w:t>服务期限：</w:t>
      </w:r>
      <w:r>
        <w:rPr>
          <w:rFonts w:hint="eastAsia" w:ascii="仿宋_GB2312" w:hAnsi="仿宋_GB2312" w:eastAsia="仿宋_GB2312" w:cs="仿宋_GB2312"/>
          <w:b w:val="0"/>
          <w:bCs/>
          <w:color w:val="000000"/>
          <w:sz w:val="32"/>
        </w:rPr>
        <w:t>1年</w:t>
      </w:r>
    </w:p>
    <w:bookmarkEnd w:id="0"/>
    <w:p w14:paraId="29BC2032">
      <w:pPr>
        <w:pStyle w:val="3"/>
        <w:spacing w:line="560" w:lineRule="exact"/>
        <w:ind w:right="0" w:rightChars="0" w:firstLine="640" w:firstLineChars="200"/>
        <w:rPr>
          <w:rFonts w:hint="eastAsia" w:ascii="黑体" w:hAnsi="黑体" w:eastAsia="黑体" w:cs="黑体"/>
          <w:b w:val="0"/>
          <w:bCs/>
          <w:color w:val="000000"/>
          <w:sz w:val="32"/>
        </w:rPr>
      </w:pPr>
      <w:r>
        <w:rPr>
          <w:rFonts w:hint="eastAsia" w:ascii="黑体" w:hAnsi="黑体" w:eastAsia="黑体" w:cs="黑体"/>
          <w:b w:val="0"/>
          <w:bCs/>
          <w:color w:val="000000"/>
          <w:sz w:val="32"/>
        </w:rPr>
        <w:t>二、投标人资料文件初审阶段</w:t>
      </w:r>
    </w:p>
    <w:p w14:paraId="312BDE61">
      <w:pPr>
        <w:pStyle w:val="3"/>
        <w:spacing w:line="56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有意向的投标人，请按照以下要求提交相应资料，全部资料须加盖公司鲜章，初审资料无需密封。</w:t>
      </w:r>
    </w:p>
    <w:p w14:paraId="7AFEFC43">
      <w:pPr>
        <w:pStyle w:val="3"/>
        <w:spacing w:line="56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1.投递时间：2026年5月2</w:t>
      </w:r>
      <w:r>
        <w:rPr>
          <w:rFonts w:hint="eastAsia" w:ascii="仿宋_GB2312" w:hAnsi="仿宋_GB2312" w:eastAsia="仿宋_GB2312" w:cs="仿宋_GB2312"/>
          <w:b w:val="0"/>
          <w:bCs/>
          <w:color w:val="000000"/>
          <w:sz w:val="32"/>
          <w:lang w:val="en-US" w:eastAsia="zh-CN"/>
        </w:rPr>
        <w:t>8</w:t>
      </w:r>
      <w:r>
        <w:rPr>
          <w:rFonts w:hint="eastAsia" w:ascii="仿宋_GB2312" w:hAnsi="仿宋_GB2312" w:eastAsia="仿宋_GB2312" w:cs="仿宋_GB2312"/>
          <w:b w:val="0"/>
          <w:bCs/>
          <w:color w:val="000000"/>
          <w:sz w:val="32"/>
        </w:rPr>
        <w:t>日上午8:30-10:00。</w:t>
      </w:r>
    </w:p>
    <w:p w14:paraId="23208C0E">
      <w:pPr>
        <w:spacing w:line="56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2.投递地点：昆明市西山区人民医院4楼4031室（党政综合办公室）。</w:t>
      </w:r>
    </w:p>
    <w:p w14:paraId="32A9B65A">
      <w:pPr>
        <w:pStyle w:val="3"/>
        <w:spacing w:line="56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3.资料明细</w:t>
      </w:r>
    </w:p>
    <w:p w14:paraId="33C55630">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（1）具有独立承担民事责任的能力，须提供法人或者其他组织的营业执照等证明文件，自然人的身份证明。营业范围需具备该采购项目的相关条件和要求。</w:t>
      </w:r>
    </w:p>
    <w:p w14:paraId="348851D2">
      <w:pPr>
        <w:spacing w:line="56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提示：提供营业执照复印件</w:t>
      </w:r>
    </w:p>
    <w:p w14:paraId="6CB7ABB8">
      <w:pPr>
        <w:spacing w:line="560" w:lineRule="exact"/>
        <w:ind w:firstLine="640"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（2）法人代表授权委托书原件、法人代表及受托人身份证复印件；法人代表本人到场的，提供法人代表身份证复印件。</w:t>
      </w:r>
    </w:p>
    <w:p w14:paraId="5D43A827">
      <w:pPr>
        <w:spacing w:line="560" w:lineRule="exact"/>
        <w:ind w:firstLine="640" w:firstLineChars="200"/>
        <w:rPr>
          <w:color w:val="000000"/>
          <w:sz w:val="32"/>
          <w:szCs w:val="32"/>
        </w:rPr>
      </w:pPr>
      <w:r>
        <w:rPr>
          <w:rFonts w:hint="eastAsia" w:ascii="仿宋_GB2312" w:hAnsi="仿宋_GB2312" w:eastAsia="仿宋_GB2312" w:cs="仿宋_GB2312"/>
          <w:color w:val="000000"/>
          <w:sz w:val="32"/>
          <w:szCs w:val="32"/>
        </w:rPr>
        <w:t>（3）投标人未被列入“信用中国”网站失信被执行人、重大税收违法失信主体名单及中国政府采购网“政府采购严重违法失信行为记录名单”。</w:t>
      </w:r>
    </w:p>
    <w:p w14:paraId="0796D92E">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信用中国网址：www.creditchina.gov.cn</w:t>
      </w:r>
    </w:p>
    <w:p w14:paraId="41167A99">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中国政府采购网：www.ccgp.gov.cn</w:t>
      </w:r>
    </w:p>
    <w:p w14:paraId="166A24F6">
      <w:pPr>
        <w:spacing w:line="56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提示：提供相关网站的截屏为准，查询时间为前一天。</w:t>
      </w:r>
    </w:p>
    <w:p w14:paraId="0118C1FF">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2DD6F1D6">
      <w:pPr>
        <w:spacing w:line="56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提示：由投标人自行拟定书面承诺，内容需涵盖以上要求。</w:t>
      </w:r>
    </w:p>
    <w:p w14:paraId="2A0859F0">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（5）投标人（受托人或法人代表）所在单位的社保缴纳凭证（本年度近3个月）；若参保单位为所在单位合作的第三方人力资源公司，请提供情况说明。</w:t>
      </w:r>
    </w:p>
    <w:p w14:paraId="1D6F1E33">
      <w:pPr>
        <w:spacing w:line="560" w:lineRule="exact"/>
        <w:ind w:firstLine="640" w:firstLineChars="200"/>
        <w:rPr>
          <w:rFonts w:hint="eastAsia" w:ascii="黑体" w:hAnsi="黑体" w:eastAsia="黑体" w:cs="黑体"/>
          <w:bCs/>
          <w:color w:val="000000"/>
          <w:sz w:val="32"/>
          <w:szCs w:val="32"/>
        </w:rPr>
      </w:pPr>
      <w:bookmarkStart w:id="1" w:name="_Hlk24379207"/>
      <w:bookmarkStart w:id="2" w:name="_Toc28359002"/>
      <w:bookmarkStart w:id="3" w:name="_Toc35393790"/>
      <w:bookmarkStart w:id="4" w:name="_Toc35393621"/>
      <w:bookmarkStart w:id="5" w:name="_Toc28359079"/>
      <w:r>
        <w:rPr>
          <w:rFonts w:hint="eastAsia" w:ascii="黑体" w:hAnsi="黑体" w:eastAsia="黑体" w:cs="黑体"/>
          <w:bCs/>
          <w:color w:val="000000"/>
          <w:sz w:val="32"/>
          <w:szCs w:val="32"/>
        </w:rPr>
        <w:t>三、通知递交标书</w:t>
      </w:r>
    </w:p>
    <w:p w14:paraId="4AE649BB">
      <w:pPr>
        <w:spacing w:line="56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根据当天审核情况，若满足开标条件的，由工作小组电话联系合格的投标人次日递交标书。</w:t>
      </w:r>
    </w:p>
    <w:p w14:paraId="7FA759CB">
      <w:pPr>
        <w:spacing w:line="560" w:lineRule="exact"/>
        <w:ind w:firstLine="643" w:firstLineChars="200"/>
        <w:rPr>
          <w:rFonts w:hint="eastAsia" w:ascii="仿宋_GB2312" w:hAnsi="仿宋_GB2312" w:eastAsia="仿宋_GB2312" w:cs="仿宋_GB2312"/>
          <w:b/>
          <w:color w:val="000000"/>
          <w:sz w:val="32"/>
          <w:szCs w:val="32"/>
        </w:rPr>
      </w:pPr>
    </w:p>
    <w:p w14:paraId="522CB496">
      <w:pPr>
        <w:spacing w:line="560" w:lineRule="exact"/>
        <w:jc w:val="left"/>
        <w:rPr>
          <w:rFonts w:hint="eastAsia" w:ascii="黑体" w:hAnsi="黑体" w:eastAsia="黑体"/>
          <w:color w:val="000000"/>
          <w:sz w:val="30"/>
          <w:szCs w:val="30"/>
        </w:rPr>
      </w:pPr>
    </w:p>
    <w:p w14:paraId="1818B171">
      <w:pPr>
        <w:spacing w:line="560" w:lineRule="exact"/>
        <w:jc w:val="left"/>
        <w:rPr>
          <w:rFonts w:hint="eastAsia" w:ascii="仿宋_GB2312" w:hAnsi="仿宋_GB2312" w:eastAsia="仿宋_GB2312" w:cs="仿宋_GB2312"/>
          <w:color w:val="000000"/>
          <w:sz w:val="32"/>
          <w:szCs w:val="32"/>
        </w:rPr>
      </w:pPr>
    </w:p>
    <w:p w14:paraId="065BF274">
      <w:pPr>
        <w:spacing w:line="560" w:lineRule="exact"/>
        <w:jc w:val="left"/>
        <w:rPr>
          <w:rFonts w:hint="eastAsia" w:ascii="仿宋_GB2312" w:hAnsi="仿宋_GB2312" w:eastAsia="仿宋_GB2312" w:cs="仿宋_GB2312"/>
          <w:color w:val="000000"/>
          <w:sz w:val="32"/>
          <w:szCs w:val="32"/>
        </w:rPr>
      </w:pPr>
    </w:p>
    <w:p w14:paraId="1070FAAD">
      <w:pPr>
        <w:spacing w:line="560" w:lineRule="exact"/>
        <w:jc w:val="left"/>
        <w:rPr>
          <w:rFonts w:hint="eastAsia" w:ascii="仿宋_GB2312" w:hAnsi="仿宋_GB2312" w:eastAsia="仿宋_GB2312" w:cs="仿宋_GB2312"/>
          <w:color w:val="000000"/>
          <w:sz w:val="32"/>
          <w:szCs w:val="32"/>
        </w:rPr>
      </w:pPr>
    </w:p>
    <w:p w14:paraId="594D6A9B">
      <w:pPr>
        <w:spacing w:line="560" w:lineRule="exact"/>
        <w:jc w:val="left"/>
        <w:rPr>
          <w:rFonts w:hint="eastAsia" w:ascii="仿宋_GB2312" w:hAnsi="仿宋_GB2312" w:eastAsia="仿宋_GB2312" w:cs="仿宋_GB2312"/>
          <w:color w:val="000000"/>
          <w:sz w:val="32"/>
          <w:szCs w:val="32"/>
        </w:rPr>
      </w:pPr>
    </w:p>
    <w:p w14:paraId="09FF9926">
      <w:pPr>
        <w:spacing w:line="560" w:lineRule="exact"/>
        <w:rPr>
          <w:rFonts w:hint="eastAsia" w:ascii="方正小标宋简体" w:hAnsi="方正小标宋简体" w:eastAsia="方正小标宋简体" w:cs="方正小标宋简体"/>
          <w:b/>
          <w:bCs/>
          <w:color w:val="000000"/>
          <w:sz w:val="44"/>
          <w:szCs w:val="44"/>
        </w:rPr>
      </w:pPr>
    </w:p>
    <w:p w14:paraId="2DA2FC4E">
      <w:pPr>
        <w:spacing w:line="560" w:lineRule="exact"/>
        <w:jc w:val="center"/>
        <w:rPr>
          <w:rFonts w:hint="eastAsia"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60B60A56">
      <w:pPr>
        <w:spacing w:line="560" w:lineRule="exact"/>
        <w:ind w:firstLine="600" w:firstLineChars="200"/>
        <w:jc w:val="left"/>
        <w:rPr>
          <w:rFonts w:hint="eastAsia" w:ascii="黑体" w:hAnsi="黑体" w:eastAsia="黑体"/>
          <w:color w:val="000000"/>
          <w:sz w:val="30"/>
          <w:szCs w:val="30"/>
        </w:rPr>
      </w:pPr>
    </w:p>
    <w:p w14:paraId="42B76274">
      <w:pPr>
        <w:spacing w:line="530" w:lineRule="exact"/>
        <w:ind w:firstLine="640" w:firstLineChars="200"/>
        <w:jc w:val="left"/>
        <w:rPr>
          <w:rFonts w:hint="eastAsia" w:ascii="黑体" w:hAnsi="黑体" w:eastAsia="黑体"/>
          <w:color w:val="000000"/>
          <w:sz w:val="32"/>
          <w:szCs w:val="32"/>
        </w:rPr>
      </w:pPr>
      <w:r>
        <w:rPr>
          <w:rFonts w:hint="eastAsia" w:ascii="黑体" w:hAnsi="黑体" w:eastAsia="黑体"/>
          <w:color w:val="000000"/>
          <w:sz w:val="32"/>
          <w:szCs w:val="32"/>
        </w:rPr>
        <w:t>一、采购项目概况</w:t>
      </w:r>
    </w:p>
    <w:p w14:paraId="1048D47C">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550C5271">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w:t>
      </w:r>
      <w:bookmarkStart w:id="6" w:name="OLE_LINK2"/>
      <w:r>
        <w:rPr>
          <w:rFonts w:hint="eastAsia" w:ascii="仿宋_GB2312" w:hAnsi="仿宋_GB2312" w:eastAsia="仿宋_GB2312" w:cs="仿宋_GB2312"/>
          <w:b w:val="0"/>
          <w:bCs/>
          <w:color w:val="000000"/>
          <w:sz w:val="32"/>
        </w:rPr>
        <w:t>院内投放自动售货机及共享充电设备合作</w:t>
      </w:r>
      <w:bookmarkEnd w:id="6"/>
    </w:p>
    <w:p w14:paraId="54C39822">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预算金额：管理费</w:t>
      </w:r>
      <w:r>
        <w:rPr>
          <w:rFonts w:ascii="仿宋_GB2312" w:hAnsi="仿宋_GB2312" w:eastAsia="仿宋_GB2312" w:cs="仿宋_GB2312"/>
          <w:b w:val="0"/>
          <w:bCs/>
          <w:color w:val="000000"/>
          <w:sz w:val="32"/>
          <w:shd w:val="clear" w:color="auto" w:fill="FFFFFF"/>
        </w:rPr>
        <w:t>12592.60</w:t>
      </w:r>
      <w:r>
        <w:rPr>
          <w:rFonts w:hint="eastAsia" w:ascii="仿宋_GB2312" w:hAnsi="仿宋_GB2312" w:eastAsia="仿宋_GB2312" w:cs="仿宋_GB2312"/>
          <w:b w:val="0"/>
          <w:bCs/>
          <w:color w:val="000000"/>
          <w:sz w:val="32"/>
          <w:shd w:val="clear" w:color="auto" w:fill="FFFFFF"/>
        </w:rPr>
        <w:t>元，不包含设备运营产生的电费</w:t>
      </w:r>
    </w:p>
    <w:p w14:paraId="6EB03D72">
      <w:pPr>
        <w:spacing w:line="53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仿宋_GB2312" w:hAnsi="仿宋_GB2312" w:eastAsia="仿宋_GB2312" w:cs="仿宋_GB2312"/>
          <w:bCs/>
          <w:color w:val="000000"/>
          <w:sz w:val="32"/>
        </w:rPr>
        <w:t>1年</w:t>
      </w:r>
    </w:p>
    <w:p w14:paraId="7A322A3C">
      <w:pPr>
        <w:spacing w:line="530" w:lineRule="exact"/>
        <w:ind w:firstLine="640" w:firstLineChars="200"/>
        <w:jc w:val="left"/>
        <w:rPr>
          <w:color w:val="000000"/>
        </w:rPr>
      </w:pPr>
      <w:r>
        <w:rPr>
          <w:rFonts w:hint="eastAsia" w:ascii="黑体" w:hAnsi="黑体" w:eastAsia="黑体" w:cs="黑体"/>
          <w:bCs/>
          <w:color w:val="000000"/>
          <w:sz w:val="32"/>
          <w:szCs w:val="32"/>
        </w:rPr>
        <w:t>二、采购项目需求</w:t>
      </w:r>
    </w:p>
    <w:p w14:paraId="718B2852">
      <w:pPr>
        <w:spacing w:line="53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投标人应具备相应的人员和设备，能够完成本项目。</w:t>
      </w:r>
    </w:p>
    <w:p w14:paraId="0296BA9E">
      <w:pPr>
        <w:spacing w:line="530" w:lineRule="exact"/>
        <w:ind w:firstLine="600"/>
        <w:jc w:val="left"/>
        <w:rPr>
          <w:rFonts w:hint="eastAsia" w:ascii="黑体" w:hAnsi="黑体" w:eastAsia="黑体" w:cs="黑体"/>
          <w:color w:val="000000"/>
          <w:sz w:val="32"/>
          <w:szCs w:val="32"/>
        </w:rPr>
      </w:pPr>
      <w:r>
        <w:rPr>
          <w:rFonts w:hint="eastAsia" w:ascii="黑体" w:hAnsi="黑体" w:eastAsia="黑体" w:cs="黑体"/>
          <w:color w:val="000000"/>
          <w:sz w:val="32"/>
          <w:szCs w:val="32"/>
        </w:rPr>
        <w:t>三</w:t>
      </w:r>
      <w:r>
        <w:rPr>
          <w:rFonts w:ascii="黑体" w:hAnsi="黑体" w:eastAsia="黑体" w:cs="黑体"/>
          <w:color w:val="000000"/>
          <w:sz w:val="32"/>
          <w:szCs w:val="32"/>
        </w:rPr>
        <w:t>、</w:t>
      </w:r>
      <w:r>
        <w:rPr>
          <w:rFonts w:hint="eastAsia" w:ascii="黑体" w:hAnsi="黑体" w:eastAsia="黑体" w:cs="黑体"/>
          <w:color w:val="000000"/>
          <w:sz w:val="32"/>
          <w:szCs w:val="32"/>
        </w:rPr>
        <w:t>投递标书和开标要求</w:t>
      </w:r>
    </w:p>
    <w:p w14:paraId="6B81F75E">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（一）投递标书</w:t>
      </w:r>
    </w:p>
    <w:p w14:paraId="73FBC549">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时间：2026年5月2</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日上午8:30-9:50。</w:t>
      </w:r>
    </w:p>
    <w:p w14:paraId="1CCC8745">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地点：昆明市西山区人民医院4楼4031室（党政综合办公室）。</w:t>
      </w:r>
    </w:p>
    <w:p w14:paraId="6D6E1E62">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备注：投递方式为现场投递，标书须密封完好，封面信息齐全，标书1份（原件）。</w:t>
      </w:r>
    </w:p>
    <w:p w14:paraId="349077E9">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（二）开标评标</w:t>
      </w:r>
    </w:p>
    <w:p w14:paraId="2554E51C">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时间：2026年5月2</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日上午10:00。</w:t>
      </w:r>
    </w:p>
    <w:p w14:paraId="44E6373E">
      <w:pPr>
        <w:spacing w:line="53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地点：昆明市西山区人民医院5楼多媒体教室。</w:t>
      </w:r>
    </w:p>
    <w:p w14:paraId="4EE217B8">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备注：投标人须参与现场唱标。</w:t>
      </w:r>
    </w:p>
    <w:p w14:paraId="52B4D1A6">
      <w:pPr>
        <w:spacing w:line="530" w:lineRule="exact"/>
        <w:ind w:firstLine="640" w:firstLineChars="200"/>
        <w:rPr>
          <w:rFonts w:hint="eastAsia" w:ascii="黑体" w:hAnsi="黑体" w:eastAsia="黑体" w:cs="黑体"/>
          <w:bCs/>
          <w:color w:val="000000"/>
          <w:sz w:val="32"/>
          <w:szCs w:val="32"/>
        </w:rPr>
      </w:pPr>
      <w:r>
        <w:rPr>
          <w:rFonts w:hint="eastAsia" w:ascii="黑体" w:hAnsi="黑体" w:eastAsia="黑体" w:cs="黑体"/>
          <w:bCs/>
          <w:color w:val="000000"/>
          <w:sz w:val="32"/>
          <w:szCs w:val="32"/>
        </w:rPr>
        <w:t>四、投标人资格要求</w:t>
      </w:r>
    </w:p>
    <w:p w14:paraId="7DDBA50B">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（1）具有独立承担民事责任的能力，须提供法人或者其他组织的营业执照等证明文件，自然人的身份证明；</w:t>
      </w:r>
    </w:p>
    <w:p w14:paraId="6E578BBB">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（2）具有良好的商业信誉和健全的财务制度(近2年包括资产负债表、利润表、现金流量表或者审计报告)；</w:t>
      </w:r>
    </w:p>
    <w:p w14:paraId="2F988523">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（3）投标人有效的纳税的证明材料；</w:t>
      </w:r>
    </w:p>
    <w:p w14:paraId="09386177">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color w:val="000000"/>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52FFCC39">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（5）投标人须提供具有履行相应合同所必须的设备和专业技术能力的证明材料；</w:t>
      </w:r>
    </w:p>
    <w:p w14:paraId="3A4A972D">
      <w:pPr>
        <w:spacing w:line="530" w:lineRule="exact"/>
        <w:ind w:firstLine="640" w:firstLineChars="2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（6）投标人未被列入“信用中国”网站失信被执行人、重大税收违法失信主体名单及中国政府采购网“政府采购严重违法失信行为记录名单”。</w:t>
      </w:r>
      <w:bookmarkEnd w:id="1"/>
      <w:bookmarkEnd w:id="2"/>
      <w:bookmarkEnd w:id="3"/>
      <w:bookmarkEnd w:id="4"/>
      <w:bookmarkEnd w:id="5"/>
      <w:bookmarkStart w:id="7" w:name="_Toc35393795"/>
      <w:bookmarkStart w:id="8" w:name="_Toc35393626"/>
    </w:p>
    <w:p w14:paraId="5A966579">
      <w:pPr>
        <w:pStyle w:val="3"/>
        <w:spacing w:line="530" w:lineRule="exact"/>
        <w:ind w:right="0" w:rightChars="0" w:firstLine="640" w:firstLineChars="200"/>
        <w:rPr>
          <w:rFonts w:hint="eastAsia" w:ascii="黑体" w:hAnsi="黑体" w:eastAsia="黑体" w:cs="黑体"/>
          <w:b w:val="0"/>
          <w:bCs/>
          <w:color w:val="000000"/>
          <w:sz w:val="32"/>
        </w:rPr>
      </w:pPr>
      <w:r>
        <w:rPr>
          <w:rFonts w:hint="eastAsia" w:ascii="黑体" w:hAnsi="黑体" w:eastAsia="黑体" w:cs="黑体"/>
          <w:b w:val="0"/>
          <w:bCs/>
          <w:color w:val="000000"/>
          <w:sz w:val="32"/>
        </w:rPr>
        <w:t>五、采购方式、评标办法</w:t>
      </w:r>
    </w:p>
    <w:p w14:paraId="56BFC1C6">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1579BB93">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评标方法：综合评分法。</w:t>
      </w:r>
    </w:p>
    <w:p w14:paraId="7A1DA66E">
      <w:pPr>
        <w:pStyle w:val="3"/>
        <w:spacing w:line="530" w:lineRule="exact"/>
        <w:ind w:right="0" w:rightChars="0" w:firstLine="640" w:firstLineChars="200"/>
        <w:rPr>
          <w:rFonts w:hint="eastAsia" w:ascii="黑体" w:hAnsi="黑体" w:eastAsia="黑体" w:cs="黑体"/>
          <w:b w:val="0"/>
          <w:bCs/>
          <w:color w:val="000000"/>
          <w:sz w:val="32"/>
        </w:rPr>
      </w:pPr>
      <w:r>
        <w:rPr>
          <w:rFonts w:hint="eastAsia" w:ascii="黑体" w:hAnsi="黑体" w:eastAsia="黑体" w:cs="黑体"/>
          <w:b w:val="0"/>
          <w:bCs/>
          <w:color w:val="000000"/>
          <w:sz w:val="32"/>
        </w:rPr>
        <w:t>六、招标公告、招标结果发布</w:t>
      </w:r>
      <w:bookmarkEnd w:id="7"/>
      <w:bookmarkEnd w:id="8"/>
      <w:bookmarkStart w:id="9" w:name="_Toc28359085"/>
      <w:bookmarkStart w:id="10" w:name="_Toc35393796"/>
      <w:bookmarkStart w:id="11" w:name="_Toc35393627"/>
      <w:bookmarkStart w:id="12" w:name="_Toc28359008"/>
    </w:p>
    <w:p w14:paraId="5E86B45C">
      <w:pPr>
        <w:spacing w:line="53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1.昆明市西山区人民医院官方网站；</w:t>
      </w:r>
    </w:p>
    <w:p w14:paraId="70C20490">
      <w:pPr>
        <w:spacing w:line="530" w:lineRule="exact"/>
        <w:ind w:firstLine="420" w:firstLineChars="200"/>
        <w:rPr>
          <w:rStyle w:val="10"/>
          <w:rFonts w:hint="eastAsia" w:ascii="仿宋_GB2312" w:hAnsi="仿宋_GB2312" w:eastAsia="仿宋_GB2312" w:cs="仿宋_GB2312"/>
          <w:color w:val="000000"/>
          <w:sz w:val="32"/>
          <w:szCs w:val="32"/>
        </w:rPr>
      </w:pPr>
      <w:r>
        <w:fldChar w:fldCharType="begin"/>
      </w:r>
      <w:r>
        <w:instrText xml:space="preserve"> HYPERLINK "https://www.xsqrmyy.net/" </w:instrText>
      </w:r>
      <w:r>
        <w:fldChar w:fldCharType="separate"/>
      </w:r>
      <w:r>
        <w:rPr>
          <w:rStyle w:val="9"/>
          <w:rFonts w:hint="eastAsia" w:ascii="仿宋_GB2312" w:hAnsi="仿宋_GB2312" w:eastAsia="仿宋_GB2312" w:cs="仿宋_GB2312"/>
          <w:color w:val="000000"/>
          <w:kern w:val="0"/>
          <w:sz w:val="32"/>
          <w:szCs w:val="32"/>
        </w:rPr>
        <w:t>https://www.xsqrmyy.net/</w:t>
      </w:r>
      <w:bookmarkEnd w:id="9"/>
      <w:bookmarkEnd w:id="10"/>
      <w:bookmarkEnd w:id="11"/>
      <w:bookmarkEnd w:id="12"/>
      <w:r>
        <w:rPr>
          <w:rStyle w:val="9"/>
          <w:rFonts w:hint="eastAsia" w:ascii="仿宋_GB2312" w:hAnsi="仿宋_GB2312" w:eastAsia="仿宋_GB2312" w:cs="仿宋_GB2312"/>
          <w:color w:val="000000"/>
          <w:kern w:val="0"/>
          <w:sz w:val="32"/>
          <w:szCs w:val="32"/>
        </w:rPr>
        <w:fldChar w:fldCharType="end"/>
      </w:r>
    </w:p>
    <w:p w14:paraId="5E35EBAA">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2.招标公告公示期：自发布之日起，3个工作日；</w:t>
      </w:r>
    </w:p>
    <w:p w14:paraId="559ED390">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3.招标结果公示期：自发布之日起，1个工作日。</w:t>
      </w:r>
    </w:p>
    <w:p w14:paraId="4927305A">
      <w:pPr>
        <w:pStyle w:val="3"/>
        <w:spacing w:line="530" w:lineRule="exact"/>
        <w:ind w:right="0" w:rightChars="0" w:firstLine="640" w:firstLineChars="200"/>
        <w:rPr>
          <w:rFonts w:hint="eastAsia" w:ascii="黑体" w:hAnsi="黑体" w:eastAsia="黑体" w:cs="黑体"/>
          <w:b w:val="0"/>
          <w:bCs/>
          <w:color w:val="000000"/>
          <w:sz w:val="32"/>
        </w:rPr>
      </w:pPr>
      <w:r>
        <w:rPr>
          <w:rFonts w:hint="eastAsia" w:ascii="黑体" w:hAnsi="黑体" w:eastAsia="黑体" w:cs="黑体"/>
          <w:b w:val="0"/>
          <w:bCs/>
          <w:color w:val="000000"/>
          <w:sz w:val="32"/>
        </w:rPr>
        <w:t>七、联系方式</w:t>
      </w:r>
    </w:p>
    <w:p w14:paraId="7F76BBE4">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凡对本次采购项目提出询问的，请按以下方式联系。</w:t>
      </w:r>
    </w:p>
    <w:p w14:paraId="091319CF">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联系人：总务部 郭老师</w:t>
      </w:r>
    </w:p>
    <w:p w14:paraId="3CD1D6F7">
      <w:pPr>
        <w:pStyle w:val="3"/>
        <w:spacing w:line="530" w:lineRule="exact"/>
        <w:ind w:right="0" w:rightChars="0" w:firstLine="640" w:firstLineChars="200"/>
        <w:rPr>
          <w:rFonts w:hint="eastAsia"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联系电话：0871-68182745</w:t>
      </w:r>
    </w:p>
    <w:p w14:paraId="5930A77B">
      <w:pPr>
        <w:spacing w:line="530" w:lineRule="exact"/>
        <w:ind w:firstLine="4800" w:firstLineChars="1500"/>
        <w:rPr>
          <w:rFonts w:hint="eastAsia" w:ascii="仿宋_GB2312" w:hAnsi="仿宋_GB2312" w:eastAsia="仿宋_GB2312" w:cs="仿宋_GB2312"/>
          <w:bCs/>
          <w:color w:val="000000"/>
          <w:sz w:val="32"/>
          <w:szCs w:val="32"/>
        </w:rPr>
      </w:pPr>
    </w:p>
    <w:p w14:paraId="3A960D26">
      <w:pPr>
        <w:spacing w:line="530" w:lineRule="exact"/>
        <w:ind w:firstLine="4800" w:firstLineChars="1500"/>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昆明市西山区人民医院</w:t>
      </w:r>
    </w:p>
    <w:p w14:paraId="29834120">
      <w:pPr>
        <w:pStyle w:val="3"/>
        <w:spacing w:line="530" w:lineRule="exact"/>
        <w:ind w:right="0" w:rightChars="0" w:firstLine="5120" w:firstLineChars="1600"/>
        <w:rPr>
          <w:rFonts w:hint="eastAsia"/>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val="0"/>
          <w:bCs/>
          <w:color w:val="000000"/>
          <w:sz w:val="32"/>
        </w:rPr>
        <w:t>2026年5月</w:t>
      </w:r>
      <w:r>
        <w:rPr>
          <w:rFonts w:hint="eastAsia" w:ascii="仿宋_GB2312" w:hAnsi="仿宋_GB2312" w:eastAsia="仿宋_GB2312" w:cs="仿宋_GB2312"/>
          <w:b w:val="0"/>
          <w:bCs/>
          <w:color w:val="000000"/>
          <w:sz w:val="32"/>
          <w:lang w:val="en-US" w:eastAsia="zh-CN"/>
        </w:rPr>
        <w:t>25</w:t>
      </w:r>
      <w:bookmarkStart w:id="19" w:name="_GoBack"/>
      <w:bookmarkEnd w:id="19"/>
      <w:r>
        <w:rPr>
          <w:rFonts w:hint="eastAsia" w:ascii="仿宋_GB2312" w:hAnsi="仿宋_GB2312" w:eastAsia="仿宋_GB2312" w:cs="仿宋_GB2312"/>
          <w:b w:val="0"/>
          <w:bCs/>
          <w:color w:val="000000"/>
          <w:sz w:val="32"/>
        </w:rPr>
        <w:t>日</w:t>
      </w:r>
    </w:p>
    <w:p w14:paraId="2B6625B1">
      <w:pPr>
        <w:rPr>
          <w:rFonts w:ascii="方正小标宋简体" w:eastAsia="方正小标宋简体"/>
          <w:sz w:val="36"/>
        </w:rPr>
      </w:pPr>
      <w:r>
        <w:rPr>
          <w:rFonts w:hint="eastAsia" w:ascii="方正小标宋简体" w:eastAsia="方正小标宋简体"/>
          <w:sz w:val="36"/>
        </w:rPr>
        <w:t>附件1</w:t>
      </w:r>
    </w:p>
    <w:p w14:paraId="08C0D291">
      <w:pPr>
        <w:widowControl/>
        <w:jc w:val="center"/>
        <w:textAlignment w:val="center"/>
        <w:rPr>
          <w:rFonts w:hint="eastAsia" w:ascii="方正小标宋简体" w:hAnsi="方正小标宋简体" w:eastAsia="方正小标宋简体" w:cs="方正小标宋简体"/>
          <w:b/>
          <w:color w:val="000000"/>
          <w:kern w:val="0"/>
          <w:sz w:val="36"/>
          <w:szCs w:val="36"/>
        </w:rPr>
      </w:pPr>
      <w:r>
        <w:rPr>
          <w:rFonts w:hint="eastAsia" w:ascii="方正小标宋简体" w:hAnsi="方正小标宋简体" w:eastAsia="方正小标宋简体" w:cs="方正小标宋简体"/>
          <w:b/>
          <w:color w:val="000000"/>
          <w:kern w:val="0"/>
          <w:sz w:val="36"/>
          <w:szCs w:val="36"/>
        </w:rPr>
        <w:t>西山区人民医院院内投放自动售货机及共享充电设备合作项目评标办法</w:t>
      </w:r>
    </w:p>
    <w:p w14:paraId="685AC14A">
      <w:pPr>
        <w:spacing w:before="120" w:after="120" w:line="288" w:lineRule="auto"/>
        <w:ind w:firstLine="360" w:firstLineChars="200"/>
        <w:jc w:val="left"/>
        <w:rPr>
          <w:rFonts w:hint="eastAsia" w:asciiTheme="minorEastAsia" w:hAnsiTheme="minorEastAsia" w:eastAsiaTheme="minorEastAsia"/>
          <w:sz w:val="18"/>
          <w:szCs w:val="18"/>
        </w:rPr>
      </w:pPr>
      <w:r>
        <w:rPr>
          <w:rFonts w:hint="eastAsia" w:cs="Arial" w:asciiTheme="minorEastAsia" w:hAnsiTheme="minorEastAsia" w:eastAsiaTheme="minorEastAsia"/>
          <w:sz w:val="18"/>
          <w:szCs w:val="18"/>
        </w:rPr>
        <w:t>合规依据：《政府采购货物和服务招标投标管理办法》（财政部令第87号）、《关于推动解决政府采购异常低价问题的通知》（财库〔2026〕2号）</w:t>
      </w:r>
      <w:bookmarkStart w:id="13" w:name="heading_1"/>
    </w:p>
    <w:p w14:paraId="7CB6320F">
      <w:pPr>
        <w:spacing w:before="120" w:after="120" w:line="288" w:lineRule="auto"/>
        <w:ind w:firstLine="361" w:firstLineChars="200"/>
        <w:jc w:val="left"/>
        <w:rPr>
          <w:rFonts w:hint="eastAsia" w:asciiTheme="minorEastAsia" w:hAnsiTheme="minorEastAsia" w:eastAsiaTheme="minorEastAsia"/>
          <w:sz w:val="18"/>
          <w:szCs w:val="18"/>
        </w:rPr>
      </w:pPr>
      <w:r>
        <w:rPr>
          <w:rFonts w:hint="eastAsia" w:cs="Arial" w:asciiTheme="minorEastAsia" w:hAnsiTheme="minorEastAsia" w:eastAsiaTheme="minorEastAsia"/>
          <w:b/>
          <w:sz w:val="18"/>
          <w:szCs w:val="18"/>
        </w:rPr>
        <w:t>一、综合评分细则（总分100分）</w:t>
      </w:r>
      <w:bookmarkEnd w:id="13"/>
    </w:p>
    <w:tbl>
      <w:tblPr>
        <w:tblStyle w:val="6"/>
        <w:tblW w:w="15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426"/>
        <w:gridCol w:w="10626"/>
        <w:gridCol w:w="2840"/>
      </w:tblGrid>
      <w:tr w14:paraId="6C0A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34" w:type="dxa"/>
            <w:vAlign w:val="center"/>
          </w:tcPr>
          <w:p w14:paraId="74AB6527">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评分维度</w:t>
            </w:r>
          </w:p>
        </w:tc>
        <w:tc>
          <w:tcPr>
            <w:tcW w:w="426" w:type="dxa"/>
            <w:vAlign w:val="center"/>
          </w:tcPr>
          <w:p w14:paraId="6E54852C">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分值</w:t>
            </w:r>
          </w:p>
        </w:tc>
        <w:tc>
          <w:tcPr>
            <w:tcW w:w="10626" w:type="dxa"/>
            <w:vAlign w:val="center"/>
          </w:tcPr>
          <w:p w14:paraId="3B85DA80">
            <w:pPr>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评分项</w:t>
            </w:r>
          </w:p>
        </w:tc>
        <w:tc>
          <w:tcPr>
            <w:tcW w:w="2840" w:type="dxa"/>
            <w:vAlign w:val="center"/>
          </w:tcPr>
          <w:p w14:paraId="191C4189">
            <w:pPr>
              <w:jc w:val="cente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具体评分标准</w:t>
            </w:r>
          </w:p>
        </w:tc>
      </w:tr>
      <w:tr w14:paraId="4B89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134" w:type="dxa"/>
            <w:vMerge w:val="restart"/>
            <w:vAlign w:val="center"/>
          </w:tcPr>
          <w:p w14:paraId="78614BAF">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运营方案</w:t>
            </w:r>
          </w:p>
        </w:tc>
        <w:tc>
          <w:tcPr>
            <w:tcW w:w="426" w:type="dxa"/>
          </w:tcPr>
          <w:p w14:paraId="47A16AD7">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10</w:t>
            </w:r>
          </w:p>
        </w:tc>
        <w:tc>
          <w:tcPr>
            <w:tcW w:w="10626" w:type="dxa"/>
          </w:tcPr>
          <w:p w14:paraId="168C9419">
            <w:pPr>
              <w:rPr>
                <w:rFonts w:hint="eastAsia" w:asciiTheme="minorEastAsia" w:hAnsiTheme="minorEastAsia" w:eastAsiaTheme="minorEastAsia"/>
                <w:sz w:val="18"/>
                <w:szCs w:val="18"/>
              </w:rPr>
            </w:pPr>
            <w:bookmarkStart w:id="14" w:name="OLE_LINK5"/>
            <w:bookmarkStart w:id="15" w:name="OLE_LINK6"/>
            <w:r>
              <w:rPr>
                <w:rFonts w:hint="eastAsia" w:asciiTheme="minorEastAsia" w:hAnsiTheme="minorEastAsia" w:eastAsiaTheme="minorEastAsia"/>
                <w:sz w:val="18"/>
                <w:szCs w:val="18"/>
              </w:rPr>
              <w:t>售货机及共享充电设备</w:t>
            </w:r>
            <w:bookmarkEnd w:id="14"/>
            <w:bookmarkEnd w:id="15"/>
            <w:r>
              <w:rPr>
                <w:rFonts w:hint="eastAsia" w:asciiTheme="minorEastAsia" w:hAnsiTheme="minorEastAsia" w:eastAsiaTheme="minorEastAsia"/>
                <w:sz w:val="18"/>
                <w:szCs w:val="18"/>
              </w:rPr>
              <w:t>摆放位置方案、售卖商品售卖方案。</w:t>
            </w:r>
          </w:p>
        </w:tc>
        <w:tc>
          <w:tcPr>
            <w:tcW w:w="2840" w:type="dxa"/>
            <w:vMerge w:val="restart"/>
          </w:tcPr>
          <w:p w14:paraId="2A1A3C54">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每缺一项扣2分，每有一项内容中存在表述不清晰、内容不全面、不合理或操作性较差的扣1-2分，扣完为止。</w:t>
            </w:r>
          </w:p>
        </w:tc>
      </w:tr>
      <w:tr w14:paraId="663F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134" w:type="dxa"/>
            <w:vMerge w:val="continue"/>
            <w:vAlign w:val="center"/>
          </w:tcPr>
          <w:p w14:paraId="698FCFBB">
            <w:pPr>
              <w:rPr>
                <w:rFonts w:hint="eastAsia" w:asciiTheme="minorEastAsia" w:hAnsiTheme="minorEastAsia" w:eastAsiaTheme="minorEastAsia"/>
                <w:sz w:val="18"/>
                <w:szCs w:val="18"/>
              </w:rPr>
            </w:pPr>
          </w:p>
        </w:tc>
        <w:tc>
          <w:tcPr>
            <w:tcW w:w="426" w:type="dxa"/>
          </w:tcPr>
          <w:p w14:paraId="4D21240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16</w:t>
            </w:r>
          </w:p>
        </w:tc>
        <w:tc>
          <w:tcPr>
            <w:tcW w:w="10626" w:type="dxa"/>
          </w:tcPr>
          <w:p w14:paraId="0B6F29DC">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售货机及共享充电设备日常管理方案，应至少包含产品采购入库售卖以及资质审查方案、设备的安全保障措施、以及应急管理措施。</w:t>
            </w:r>
          </w:p>
        </w:tc>
        <w:tc>
          <w:tcPr>
            <w:tcW w:w="2840" w:type="dxa"/>
            <w:vMerge w:val="continue"/>
          </w:tcPr>
          <w:p w14:paraId="42A59B30">
            <w:pPr>
              <w:rPr>
                <w:rFonts w:hint="eastAsia" w:asciiTheme="minorEastAsia" w:hAnsiTheme="minorEastAsia" w:eastAsiaTheme="minorEastAsia"/>
                <w:sz w:val="18"/>
                <w:szCs w:val="18"/>
              </w:rPr>
            </w:pPr>
          </w:p>
        </w:tc>
      </w:tr>
      <w:tr w14:paraId="3BFB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34" w:type="dxa"/>
            <w:vMerge w:val="restart"/>
            <w:vAlign w:val="center"/>
          </w:tcPr>
          <w:p w14:paraId="2723CB38">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售后服务评分细则</w:t>
            </w:r>
          </w:p>
        </w:tc>
        <w:tc>
          <w:tcPr>
            <w:tcW w:w="426" w:type="dxa"/>
          </w:tcPr>
          <w:p w14:paraId="2337DACB">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30D1611C">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服务人员设置以及人员职责。</w:t>
            </w:r>
          </w:p>
        </w:tc>
        <w:tc>
          <w:tcPr>
            <w:tcW w:w="2840" w:type="dxa"/>
            <w:vMerge w:val="continue"/>
          </w:tcPr>
          <w:p w14:paraId="6B872DF6">
            <w:pPr>
              <w:rPr>
                <w:rFonts w:hint="eastAsia" w:asciiTheme="minorEastAsia" w:hAnsiTheme="minorEastAsia" w:eastAsiaTheme="minorEastAsia"/>
                <w:sz w:val="18"/>
                <w:szCs w:val="18"/>
              </w:rPr>
            </w:pPr>
          </w:p>
        </w:tc>
      </w:tr>
      <w:tr w14:paraId="6048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134" w:type="dxa"/>
            <w:vMerge w:val="continue"/>
            <w:vAlign w:val="center"/>
          </w:tcPr>
          <w:p w14:paraId="2AE5C4C7">
            <w:pPr>
              <w:rPr>
                <w:rFonts w:hint="eastAsia" w:asciiTheme="minorEastAsia" w:hAnsiTheme="minorEastAsia" w:eastAsiaTheme="minorEastAsia"/>
                <w:sz w:val="18"/>
                <w:szCs w:val="18"/>
              </w:rPr>
            </w:pPr>
          </w:p>
        </w:tc>
        <w:tc>
          <w:tcPr>
            <w:tcW w:w="426" w:type="dxa"/>
          </w:tcPr>
          <w:p w14:paraId="4BBAC755">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6</w:t>
            </w:r>
          </w:p>
        </w:tc>
        <w:tc>
          <w:tcPr>
            <w:tcW w:w="10626" w:type="dxa"/>
          </w:tcPr>
          <w:p w14:paraId="577DD4D4">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售后服务流程、售后管理制度、售后投诉与处理措施。</w:t>
            </w:r>
          </w:p>
        </w:tc>
        <w:tc>
          <w:tcPr>
            <w:tcW w:w="2840" w:type="dxa"/>
            <w:vMerge w:val="continue"/>
          </w:tcPr>
          <w:p w14:paraId="115AB7C3">
            <w:pPr>
              <w:rPr>
                <w:rFonts w:hint="eastAsia" w:asciiTheme="minorEastAsia" w:hAnsiTheme="minorEastAsia" w:eastAsiaTheme="minorEastAsia"/>
                <w:sz w:val="18"/>
                <w:szCs w:val="18"/>
              </w:rPr>
            </w:pPr>
          </w:p>
        </w:tc>
      </w:tr>
      <w:tr w14:paraId="4563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34" w:type="dxa"/>
            <w:vAlign w:val="center"/>
          </w:tcPr>
          <w:p w14:paraId="575C815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业绩案例评分细则</w:t>
            </w:r>
          </w:p>
        </w:tc>
        <w:tc>
          <w:tcPr>
            <w:tcW w:w="426" w:type="dxa"/>
          </w:tcPr>
          <w:p w14:paraId="12D9EA74">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10</w:t>
            </w:r>
          </w:p>
        </w:tc>
        <w:tc>
          <w:tcPr>
            <w:tcW w:w="10626" w:type="dxa"/>
          </w:tcPr>
          <w:p w14:paraId="4D04187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根据2018年至今（以合同签订时间为准）供应商（或授权给供应商的生产企业）在医院的相关运营业绩。注：运营业绩证明材料为供应商与医院签署的合同（协议）文本复印件或者医院官网/招标机构的中标通知公示。</w:t>
            </w:r>
            <w:r>
              <w:rPr>
                <w:rFonts w:hint="eastAsia" w:asciiTheme="minorEastAsia" w:hAnsiTheme="minorEastAsia" w:eastAsiaTheme="minorEastAsia"/>
                <w:sz w:val="18"/>
                <w:szCs w:val="18"/>
              </w:rPr>
              <w:br w:type="textWrapping"/>
            </w:r>
            <w:r>
              <w:rPr>
                <w:rFonts w:hint="eastAsia" w:asciiTheme="minorEastAsia" w:hAnsiTheme="minorEastAsia" w:eastAsiaTheme="minorEastAsia"/>
                <w:sz w:val="18"/>
                <w:szCs w:val="18"/>
              </w:rPr>
              <w:t>仅仅预包装食品（饮料等）经营业绩不予计分。</w:t>
            </w:r>
          </w:p>
        </w:tc>
        <w:tc>
          <w:tcPr>
            <w:tcW w:w="2840" w:type="dxa"/>
          </w:tcPr>
          <w:p w14:paraId="312A78A6">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每提供一个医院相关的运营业绩得1分，满分10分。</w:t>
            </w:r>
          </w:p>
        </w:tc>
      </w:tr>
      <w:tr w14:paraId="453C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34" w:type="dxa"/>
            <w:vMerge w:val="restart"/>
            <w:vAlign w:val="center"/>
          </w:tcPr>
          <w:p w14:paraId="0D3693EC">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设备技术参数评分细则</w:t>
            </w:r>
          </w:p>
        </w:tc>
        <w:tc>
          <w:tcPr>
            <w:tcW w:w="426" w:type="dxa"/>
          </w:tcPr>
          <w:p w14:paraId="01D569C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12</w:t>
            </w:r>
          </w:p>
        </w:tc>
        <w:tc>
          <w:tcPr>
            <w:tcW w:w="10626" w:type="dxa"/>
          </w:tcPr>
          <w:p w14:paraId="7346BA3F">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售货机及共享充电设备必须具有相关合格证书、防火等级检测报告以及保险公司承保证明材料。</w:t>
            </w:r>
          </w:p>
        </w:tc>
        <w:tc>
          <w:tcPr>
            <w:tcW w:w="2840" w:type="dxa"/>
            <w:vMerge w:val="restart"/>
          </w:tcPr>
          <w:p w14:paraId="7B63F860">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每缺一项扣2分，每有一项内</w:t>
            </w:r>
            <w:bookmarkStart w:id="16" w:name="OLE_LINK9"/>
            <w:bookmarkStart w:id="17" w:name="OLE_LINK10"/>
            <w:r>
              <w:rPr>
                <w:rFonts w:hint="eastAsia" w:asciiTheme="minorEastAsia" w:hAnsiTheme="minorEastAsia" w:eastAsiaTheme="minorEastAsia"/>
                <w:sz w:val="18"/>
                <w:szCs w:val="18"/>
              </w:rPr>
              <w:t>容中存在表述不清晰、内容不全面、不合理或操作性较差的扣1-2分，扣完为止。</w:t>
            </w:r>
            <w:bookmarkEnd w:id="16"/>
            <w:bookmarkEnd w:id="17"/>
          </w:p>
        </w:tc>
      </w:tr>
      <w:tr w14:paraId="4B1F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134" w:type="dxa"/>
            <w:vMerge w:val="continue"/>
          </w:tcPr>
          <w:p w14:paraId="38EC26D0">
            <w:pPr>
              <w:rPr>
                <w:rFonts w:hint="eastAsia" w:asciiTheme="minorEastAsia" w:hAnsiTheme="minorEastAsia" w:eastAsiaTheme="minorEastAsia"/>
                <w:sz w:val="18"/>
                <w:szCs w:val="18"/>
              </w:rPr>
            </w:pPr>
          </w:p>
        </w:tc>
        <w:tc>
          <w:tcPr>
            <w:tcW w:w="426" w:type="dxa"/>
          </w:tcPr>
          <w:p w14:paraId="5699BC3F">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6</w:t>
            </w:r>
          </w:p>
        </w:tc>
        <w:tc>
          <w:tcPr>
            <w:tcW w:w="10626" w:type="dxa"/>
          </w:tcPr>
          <w:p w14:paraId="62D7B00D">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售货机系统支持先补货，先出货功能，支持效期提醒，售卖商品临近效期提醒补货人下架，避免造成部分商品长期不能售卖，造成售货机设备售卖过期商品。</w:t>
            </w:r>
          </w:p>
        </w:tc>
        <w:tc>
          <w:tcPr>
            <w:tcW w:w="2840" w:type="dxa"/>
            <w:vMerge w:val="continue"/>
          </w:tcPr>
          <w:p w14:paraId="0789C389">
            <w:pPr>
              <w:rPr>
                <w:rFonts w:hint="eastAsia" w:asciiTheme="minorEastAsia" w:hAnsiTheme="minorEastAsia" w:eastAsiaTheme="minorEastAsia"/>
                <w:sz w:val="18"/>
                <w:szCs w:val="18"/>
              </w:rPr>
            </w:pPr>
          </w:p>
        </w:tc>
      </w:tr>
      <w:tr w14:paraId="40FD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134" w:type="dxa"/>
            <w:vMerge w:val="continue"/>
          </w:tcPr>
          <w:p w14:paraId="003461C6">
            <w:pPr>
              <w:rPr>
                <w:rFonts w:hint="eastAsia" w:asciiTheme="minorEastAsia" w:hAnsiTheme="minorEastAsia" w:eastAsiaTheme="minorEastAsia"/>
                <w:sz w:val="18"/>
                <w:szCs w:val="18"/>
              </w:rPr>
            </w:pPr>
          </w:p>
        </w:tc>
        <w:tc>
          <w:tcPr>
            <w:tcW w:w="426" w:type="dxa"/>
          </w:tcPr>
          <w:p w14:paraId="74978D44">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75136D93">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售货机设备应自带节能以及防虫功能，待机时格子指示灯熄灭，购物时开启，可降低能耗，又减少蚊、虫侵袭。</w:t>
            </w:r>
          </w:p>
        </w:tc>
        <w:tc>
          <w:tcPr>
            <w:tcW w:w="2840" w:type="dxa"/>
          </w:tcPr>
          <w:p w14:paraId="055FA302">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每缺一项扣2分，扣完为止。</w:t>
            </w:r>
          </w:p>
        </w:tc>
      </w:tr>
      <w:tr w14:paraId="042C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34" w:type="dxa"/>
            <w:vMerge w:val="continue"/>
          </w:tcPr>
          <w:p w14:paraId="4AF131F2">
            <w:pPr>
              <w:rPr>
                <w:rFonts w:hint="eastAsia" w:asciiTheme="minorEastAsia" w:hAnsiTheme="minorEastAsia" w:eastAsiaTheme="minorEastAsia"/>
                <w:sz w:val="18"/>
                <w:szCs w:val="18"/>
              </w:rPr>
            </w:pPr>
          </w:p>
        </w:tc>
        <w:tc>
          <w:tcPr>
            <w:tcW w:w="426" w:type="dxa"/>
          </w:tcPr>
          <w:p w14:paraId="2215E702">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3D4C0640">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设备支持为顾客提供电子或者纸质凭证，凭证内容必须包含“产品名称、型号、规格、生产企业名称、注册证编号或者备案编号、生产批号、数量、单价、金额，零售企业名称、经营地址、电话、销售日期”等全部内容，以方便进行质量追溯，并且顾客能通过小程序查看包含上述完整内容的电子销售凭证。</w:t>
            </w:r>
          </w:p>
        </w:tc>
        <w:tc>
          <w:tcPr>
            <w:tcW w:w="2840" w:type="dxa"/>
          </w:tcPr>
          <w:p w14:paraId="2898ACE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每缺一项扣4分，容中存在表述不清晰、内容不全面、不合理或操作性较差的扣0.5-1分，扣完为止。</w:t>
            </w:r>
          </w:p>
        </w:tc>
      </w:tr>
      <w:tr w14:paraId="15DD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34" w:type="dxa"/>
            <w:vMerge w:val="continue"/>
          </w:tcPr>
          <w:p w14:paraId="4AE28CD0">
            <w:pPr>
              <w:rPr>
                <w:rFonts w:hint="eastAsia" w:asciiTheme="minorEastAsia" w:hAnsiTheme="minorEastAsia" w:eastAsiaTheme="minorEastAsia"/>
                <w:sz w:val="18"/>
                <w:szCs w:val="18"/>
              </w:rPr>
            </w:pPr>
          </w:p>
        </w:tc>
        <w:tc>
          <w:tcPr>
            <w:tcW w:w="426" w:type="dxa"/>
          </w:tcPr>
          <w:p w14:paraId="7040F45B">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10626" w:type="dxa"/>
          </w:tcPr>
          <w:p w14:paraId="06EB3D60">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售货机设备必须支持顾客小程序端购买，顾客在购物后离开售货机设备依旧可以通过小程序端，查看之前全部购买商品信息内容，并找到售后服务电话，以便售货机运营商做好售后服务。</w:t>
            </w:r>
          </w:p>
        </w:tc>
        <w:tc>
          <w:tcPr>
            <w:tcW w:w="2840" w:type="dxa"/>
          </w:tcPr>
          <w:p w14:paraId="099E3829">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每缺一项扣2分，扣完为止。</w:t>
            </w:r>
          </w:p>
        </w:tc>
      </w:tr>
      <w:tr w14:paraId="29BA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34" w:type="dxa"/>
            <w:vMerge w:val="restart"/>
            <w:vAlign w:val="center"/>
          </w:tcPr>
          <w:p w14:paraId="63980708">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供应商综合实力评分细则</w:t>
            </w:r>
          </w:p>
        </w:tc>
        <w:tc>
          <w:tcPr>
            <w:tcW w:w="426" w:type="dxa"/>
          </w:tcPr>
          <w:p w14:paraId="5A52B4E4">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31F279C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信息安全等级保护备案证明：按照《信息安全等级保护管理办法》要求，供应商需要提供《信息安全等级保护备案证明》（二级以及以上），备案证明所有人必须为供应商或授权给供应商的售货机生产企业所有。</w:t>
            </w:r>
          </w:p>
        </w:tc>
        <w:tc>
          <w:tcPr>
            <w:tcW w:w="2840" w:type="dxa"/>
            <w:vMerge w:val="restart"/>
          </w:tcPr>
          <w:p w14:paraId="3E359C4F">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每缺一项扣4分，容中存在表述不清晰、内容不全面、不合理的扣0.5-1分，扣完为止。</w:t>
            </w:r>
          </w:p>
        </w:tc>
      </w:tr>
      <w:tr w14:paraId="5395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34" w:type="dxa"/>
            <w:vMerge w:val="continue"/>
            <w:vAlign w:val="center"/>
          </w:tcPr>
          <w:p w14:paraId="6A974D2B">
            <w:pPr>
              <w:rPr>
                <w:rFonts w:hint="eastAsia" w:asciiTheme="minorEastAsia" w:hAnsiTheme="minorEastAsia" w:eastAsiaTheme="minorEastAsia"/>
                <w:sz w:val="18"/>
                <w:szCs w:val="18"/>
              </w:rPr>
            </w:pPr>
          </w:p>
        </w:tc>
        <w:tc>
          <w:tcPr>
            <w:tcW w:w="426" w:type="dxa"/>
          </w:tcPr>
          <w:p w14:paraId="49785F6F">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29F205FC">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用户好评证明资料：供应商提供用户良好评价证明材料（指用户在其自媒体官网的好评介绍或主流媒体的好评介绍，应包含供应商或授权给供应商的售货机品牌产品相关文字或照片内容信息），需提供证明材料截图并附链接网址。</w:t>
            </w:r>
          </w:p>
        </w:tc>
        <w:tc>
          <w:tcPr>
            <w:tcW w:w="2840" w:type="dxa"/>
            <w:vMerge w:val="continue"/>
          </w:tcPr>
          <w:p w14:paraId="44DC5429">
            <w:pPr>
              <w:rPr>
                <w:rFonts w:hint="eastAsia" w:asciiTheme="minorEastAsia" w:hAnsiTheme="minorEastAsia" w:eastAsiaTheme="minorEastAsia"/>
                <w:sz w:val="18"/>
                <w:szCs w:val="18"/>
              </w:rPr>
            </w:pPr>
          </w:p>
        </w:tc>
      </w:tr>
      <w:tr w14:paraId="761AA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134" w:type="dxa"/>
            <w:vMerge w:val="continue"/>
            <w:vAlign w:val="center"/>
          </w:tcPr>
          <w:p w14:paraId="2AFE89E0">
            <w:pPr>
              <w:rPr>
                <w:rFonts w:hint="eastAsia" w:asciiTheme="minorEastAsia" w:hAnsiTheme="minorEastAsia" w:eastAsiaTheme="minorEastAsia"/>
                <w:sz w:val="18"/>
                <w:szCs w:val="18"/>
              </w:rPr>
            </w:pPr>
          </w:p>
        </w:tc>
        <w:tc>
          <w:tcPr>
            <w:tcW w:w="426" w:type="dxa"/>
          </w:tcPr>
          <w:p w14:paraId="01FC1492">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3EADCF60">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售货机系统应与ERP系统对接：按照药监局相关规定“</w:t>
            </w:r>
            <w:r>
              <w:rPr>
                <w:rFonts w:hint="eastAsia" w:asciiTheme="minorEastAsia" w:hAnsiTheme="minorEastAsia" w:eastAsiaTheme="minorEastAsia"/>
                <w:sz w:val="18"/>
                <w:szCs w:val="18"/>
                <w:shd w:val="clear" w:color="auto" w:fill="FFFFFF"/>
              </w:rPr>
              <w:t>自动售械机实行“一机一号”联网管理，企业计算机系统应能与仓库、设备实时数据对接。”,供应商应提供售货机系统与符合药监规定的医疗器械零售计算机管理系统实现数据对接的证明材料</w:t>
            </w:r>
          </w:p>
        </w:tc>
        <w:tc>
          <w:tcPr>
            <w:tcW w:w="2840" w:type="dxa"/>
            <w:vMerge w:val="continue"/>
          </w:tcPr>
          <w:p w14:paraId="2CF96168">
            <w:pPr>
              <w:rPr>
                <w:rFonts w:hint="eastAsia" w:asciiTheme="minorEastAsia" w:hAnsiTheme="minorEastAsia" w:eastAsiaTheme="minorEastAsia"/>
                <w:sz w:val="18"/>
                <w:szCs w:val="18"/>
              </w:rPr>
            </w:pPr>
          </w:p>
        </w:tc>
      </w:tr>
      <w:tr w14:paraId="08C0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34" w:type="dxa"/>
            <w:vMerge w:val="continue"/>
            <w:vAlign w:val="center"/>
          </w:tcPr>
          <w:p w14:paraId="7699D5BC">
            <w:pPr>
              <w:rPr>
                <w:rFonts w:hint="eastAsia" w:asciiTheme="minorEastAsia" w:hAnsiTheme="minorEastAsia" w:eastAsiaTheme="minorEastAsia"/>
                <w:sz w:val="18"/>
                <w:szCs w:val="18"/>
              </w:rPr>
            </w:pPr>
          </w:p>
        </w:tc>
        <w:tc>
          <w:tcPr>
            <w:tcW w:w="426" w:type="dxa"/>
          </w:tcPr>
          <w:p w14:paraId="06A987F5">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0626" w:type="dxa"/>
          </w:tcPr>
          <w:p w14:paraId="30D182D1">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质量管理体系认证：能够提供ISO9001质量管理体系，认证范围包含自动售货机的组装生产以及销售。该证所有人必须为供应商（或授权给供应商的售货机生产企业）</w:t>
            </w:r>
          </w:p>
        </w:tc>
        <w:tc>
          <w:tcPr>
            <w:tcW w:w="2840" w:type="dxa"/>
            <w:vMerge w:val="continue"/>
          </w:tcPr>
          <w:p w14:paraId="70946A55">
            <w:pPr>
              <w:rPr>
                <w:rFonts w:hint="eastAsia" w:asciiTheme="minorEastAsia" w:hAnsiTheme="minorEastAsia" w:eastAsiaTheme="minorEastAsia"/>
                <w:sz w:val="18"/>
                <w:szCs w:val="18"/>
              </w:rPr>
            </w:pPr>
          </w:p>
        </w:tc>
      </w:tr>
      <w:tr w14:paraId="6FDB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34" w:type="dxa"/>
            <w:vAlign w:val="center"/>
          </w:tcPr>
          <w:p w14:paraId="517D632B">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增值服务</w:t>
            </w:r>
          </w:p>
        </w:tc>
        <w:tc>
          <w:tcPr>
            <w:tcW w:w="426" w:type="dxa"/>
          </w:tcPr>
          <w:p w14:paraId="525254AB">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5</w:t>
            </w:r>
          </w:p>
        </w:tc>
        <w:tc>
          <w:tcPr>
            <w:tcW w:w="10626" w:type="dxa"/>
          </w:tcPr>
          <w:p w14:paraId="3B86FB1D">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供应商可结合自身经营条件、服务资源及技术优势，</w:t>
            </w:r>
            <w:r>
              <w:rPr>
                <w:rFonts w:asciiTheme="minorEastAsia" w:hAnsiTheme="minorEastAsia" w:eastAsiaTheme="minorEastAsia"/>
                <w:sz w:val="18"/>
                <w:szCs w:val="18"/>
              </w:rPr>
              <w:t>自主提供有利于提升项目服务质量的增值服务</w:t>
            </w:r>
            <w:r>
              <w:rPr>
                <w:rFonts w:hint="eastAsia" w:asciiTheme="minorEastAsia" w:hAnsiTheme="minorEastAsia" w:eastAsiaTheme="minorEastAsia"/>
                <w:sz w:val="18"/>
                <w:szCs w:val="18"/>
              </w:rPr>
              <w:t>，相关内容不强制。</w:t>
            </w:r>
          </w:p>
        </w:tc>
        <w:tc>
          <w:tcPr>
            <w:tcW w:w="2840" w:type="dxa"/>
          </w:tcPr>
          <w:p w14:paraId="445C5CF4">
            <w:pPr>
              <w:widowControl/>
              <w:jc w:val="left"/>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 xml:space="preserve">提供丰富、实用、贴合项目需求的增值服务，覆盖设备运维、便民保障、院方支持等多方面： </w:t>
            </w:r>
          </w:p>
          <w:p w14:paraId="2666D92E">
            <w:pPr>
              <w:widowControl/>
              <w:jc w:val="left"/>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 xml:space="preserve">1.提供较为全面的增值服务，具备一定实用性，得3-5分； </w:t>
            </w:r>
          </w:p>
          <w:p w14:paraId="52A679B3">
            <w:pPr>
              <w:widowControl/>
              <w:jc w:val="left"/>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 xml:space="preserve">2.提供少量基础增值服务，满足基本要求，得1-3分； </w:t>
            </w:r>
          </w:p>
          <w:p w14:paraId="5797A683">
            <w:pPr>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3.未提供任何增值服务，得0</w:t>
            </w:r>
            <w:r>
              <w:rPr>
                <w:rFonts w:hint="eastAsia" w:asciiTheme="minorEastAsia" w:hAnsiTheme="minorEastAsia" w:eastAsiaTheme="minorEastAsia"/>
                <w:sz w:val="18"/>
                <w:szCs w:val="18"/>
                <w:shd w:val="clear" w:color="auto" w:fill="FFFFFF"/>
              </w:rPr>
              <w:t>分</w:t>
            </w:r>
            <w:r>
              <w:rPr>
                <w:rFonts w:asciiTheme="minorEastAsia" w:hAnsiTheme="minorEastAsia" w:eastAsiaTheme="minorEastAsia"/>
                <w:sz w:val="18"/>
                <w:szCs w:val="18"/>
                <w:shd w:val="clear" w:color="auto" w:fill="FFFFFF"/>
              </w:rPr>
              <w:t>。</w:t>
            </w:r>
          </w:p>
        </w:tc>
      </w:tr>
      <w:tr w14:paraId="4C0E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34" w:type="dxa"/>
            <w:vAlign w:val="center"/>
          </w:tcPr>
          <w:p w14:paraId="5E132F66">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报价得分</w:t>
            </w:r>
          </w:p>
        </w:tc>
        <w:tc>
          <w:tcPr>
            <w:tcW w:w="426" w:type="dxa"/>
          </w:tcPr>
          <w:p w14:paraId="210E4196">
            <w:pPr>
              <w:rPr>
                <w:rFonts w:hint="eastAsia" w:asciiTheme="minorEastAsia" w:hAnsiTheme="minorEastAsia" w:eastAsiaTheme="minorEastAsia"/>
                <w:sz w:val="18"/>
                <w:szCs w:val="18"/>
              </w:rPr>
            </w:pPr>
            <w:r>
              <w:rPr>
                <w:rFonts w:hint="eastAsia" w:asciiTheme="minorEastAsia" w:hAnsiTheme="minorEastAsia" w:eastAsiaTheme="minorEastAsia"/>
                <w:sz w:val="18"/>
                <w:szCs w:val="18"/>
              </w:rPr>
              <w:t>5</w:t>
            </w:r>
          </w:p>
        </w:tc>
        <w:tc>
          <w:tcPr>
            <w:tcW w:w="10626" w:type="dxa"/>
          </w:tcPr>
          <w:p w14:paraId="3AF6CFB0">
            <w:pPr>
              <w:rPr>
                <w:rFonts w:hint="eastAsia" w:asciiTheme="minorEastAsia" w:hAnsiTheme="minorEastAsia" w:eastAsiaTheme="minorEastAsia"/>
                <w:sz w:val="18"/>
                <w:szCs w:val="18"/>
              </w:rPr>
            </w:pPr>
            <w:r>
              <w:rPr>
                <w:rFonts w:asciiTheme="minorEastAsia" w:hAnsiTheme="minorEastAsia" w:eastAsiaTheme="minorEastAsia"/>
                <w:sz w:val="18"/>
                <w:szCs w:val="18"/>
              </w:rPr>
              <w:t>所有有效投标报价</w:t>
            </w:r>
          </w:p>
        </w:tc>
        <w:tc>
          <w:tcPr>
            <w:tcW w:w="2840" w:type="dxa"/>
          </w:tcPr>
          <w:p w14:paraId="298A759F">
            <w:pPr>
              <w:widowControl/>
              <w:jc w:val="left"/>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 xml:space="preserve">1.投标人报价等于或高于参考低价的，得5分； </w:t>
            </w:r>
          </w:p>
          <w:p w14:paraId="3FCF10B4">
            <w:pPr>
              <w:widowControl/>
              <w:jc w:val="left"/>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 xml:space="preserve">2.投标人报价低于参考低价的，得0分； </w:t>
            </w:r>
          </w:p>
          <w:p w14:paraId="05C0AF39">
            <w:pPr>
              <w:widowControl/>
              <w:jc w:val="left"/>
              <w:rPr>
                <w:rFonts w:hint="eastAsia" w:asciiTheme="minorEastAsia" w:hAnsiTheme="minorEastAsia" w:eastAsiaTheme="minorEastAsia"/>
                <w:sz w:val="18"/>
                <w:szCs w:val="18"/>
                <w:shd w:val="clear" w:color="auto" w:fill="FFFFFF"/>
              </w:rPr>
            </w:pPr>
            <w:r>
              <w:rPr>
                <w:rFonts w:asciiTheme="minorEastAsia" w:hAnsiTheme="minorEastAsia" w:eastAsiaTheme="minorEastAsia"/>
                <w:sz w:val="18"/>
                <w:szCs w:val="18"/>
                <w:shd w:val="clear" w:color="auto" w:fill="FFFFFF"/>
              </w:rPr>
              <w:t>3.未按要求报价的，得0分。</w:t>
            </w:r>
          </w:p>
        </w:tc>
      </w:tr>
    </w:tbl>
    <w:p w14:paraId="6E9E73B4">
      <w:pPr>
        <w:spacing w:before="320" w:after="120" w:line="288" w:lineRule="auto"/>
        <w:jc w:val="left"/>
        <w:outlineLvl w:val="1"/>
        <w:rPr>
          <w:rFonts w:hint="eastAsia" w:cs="Arial" w:asciiTheme="minorEastAsia" w:hAnsiTheme="minorEastAsia" w:eastAsiaTheme="minorEastAsia"/>
          <w:b/>
          <w:szCs w:val="21"/>
        </w:rPr>
      </w:pPr>
      <w:bookmarkStart w:id="18" w:name="heading_4"/>
    </w:p>
    <w:p w14:paraId="4FC9A432">
      <w:pPr>
        <w:spacing w:before="320" w:after="120" w:line="288" w:lineRule="auto"/>
        <w:jc w:val="left"/>
        <w:outlineLvl w:val="1"/>
        <w:rPr>
          <w:rFonts w:hint="eastAsia" w:asciiTheme="minorEastAsia" w:hAnsiTheme="minorEastAsia" w:eastAsiaTheme="minorEastAsia"/>
          <w:szCs w:val="21"/>
        </w:rPr>
      </w:pPr>
      <w:r>
        <w:rPr>
          <w:rFonts w:hint="eastAsia" w:cs="Arial" w:asciiTheme="minorEastAsia" w:hAnsiTheme="minorEastAsia" w:eastAsiaTheme="minorEastAsia"/>
          <w:b/>
          <w:szCs w:val="21"/>
        </w:rPr>
        <w:t>二</w:t>
      </w:r>
      <w:r>
        <w:rPr>
          <w:rFonts w:cs="Arial" w:asciiTheme="minorEastAsia" w:hAnsiTheme="minorEastAsia" w:eastAsiaTheme="minorEastAsia"/>
          <w:b/>
          <w:szCs w:val="21"/>
        </w:rPr>
        <w:t>、附则</w:t>
      </w:r>
      <w:bookmarkEnd w:id="18"/>
    </w:p>
    <w:tbl>
      <w:tblPr>
        <w:tblStyle w:val="5"/>
        <w:tblW w:w="8364" w:type="dxa"/>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709"/>
        <w:gridCol w:w="7655"/>
      </w:tblGrid>
      <w:tr w14:paraId="7EE201B8">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05ACE9E9">
            <w:pPr>
              <w:jc w:val="center"/>
              <w:rPr>
                <w:rFonts w:hint="eastAsia" w:asciiTheme="minorEastAsia" w:hAnsiTheme="minorEastAsia" w:eastAsiaTheme="minorEastAsia"/>
                <w:sz w:val="18"/>
                <w:szCs w:val="18"/>
              </w:rPr>
            </w:pPr>
            <w:r>
              <w:rPr>
                <w:rFonts w:asciiTheme="minorEastAsia" w:hAnsiTheme="minorEastAsia" w:eastAsiaTheme="minorEastAsia"/>
                <w:sz w:val="18"/>
                <w:szCs w:val="18"/>
              </w:rPr>
              <w:t>序号</w:t>
            </w:r>
          </w:p>
        </w:tc>
        <w:tc>
          <w:tcPr>
            <w:tcW w:w="7655" w:type="dxa"/>
            <w:tcMar>
              <w:top w:w="60" w:type="dxa"/>
              <w:left w:w="120" w:type="dxa"/>
              <w:bottom w:w="30" w:type="dxa"/>
              <w:right w:w="120" w:type="dxa"/>
            </w:tcMar>
          </w:tcPr>
          <w:p w14:paraId="559637A8">
            <w:pPr>
              <w:jc w:val="center"/>
              <w:rPr>
                <w:rFonts w:hint="eastAsia" w:asciiTheme="minorEastAsia" w:hAnsiTheme="minorEastAsia" w:eastAsiaTheme="minorEastAsia"/>
                <w:sz w:val="18"/>
                <w:szCs w:val="18"/>
              </w:rPr>
            </w:pPr>
            <w:r>
              <w:rPr>
                <w:rFonts w:asciiTheme="minorEastAsia" w:hAnsiTheme="minorEastAsia" w:eastAsiaTheme="minorEastAsia"/>
                <w:sz w:val="18"/>
                <w:szCs w:val="18"/>
              </w:rPr>
              <w:t>具体内容</w:t>
            </w:r>
          </w:p>
        </w:tc>
      </w:tr>
      <w:tr w14:paraId="5A41DC8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3F68D9F1">
            <w:pPr>
              <w:jc w:val="center"/>
              <w:rPr>
                <w:rFonts w:hint="eastAsia" w:asciiTheme="minorEastAsia" w:hAnsiTheme="minorEastAsia" w:eastAsiaTheme="minorEastAsia"/>
                <w:sz w:val="18"/>
                <w:szCs w:val="18"/>
              </w:rPr>
            </w:pPr>
            <w:r>
              <w:rPr>
                <w:rFonts w:asciiTheme="minorEastAsia" w:hAnsiTheme="minorEastAsia" w:eastAsiaTheme="minorEastAsia"/>
                <w:sz w:val="18"/>
                <w:szCs w:val="18"/>
              </w:rPr>
              <w:t>1</w:t>
            </w:r>
          </w:p>
        </w:tc>
        <w:tc>
          <w:tcPr>
            <w:tcW w:w="7655" w:type="dxa"/>
            <w:tcMar>
              <w:top w:w="60" w:type="dxa"/>
              <w:left w:w="120" w:type="dxa"/>
              <w:bottom w:w="30" w:type="dxa"/>
              <w:right w:w="120" w:type="dxa"/>
            </w:tcMar>
          </w:tcPr>
          <w:p w14:paraId="347DD42F">
            <w:pPr>
              <w:rPr>
                <w:rFonts w:hint="eastAsia" w:asciiTheme="minorEastAsia" w:hAnsiTheme="minorEastAsia" w:eastAsiaTheme="minorEastAsia"/>
                <w:sz w:val="18"/>
                <w:szCs w:val="18"/>
              </w:rPr>
            </w:pPr>
            <w:r>
              <w:rPr>
                <w:rFonts w:asciiTheme="minorEastAsia" w:hAnsiTheme="minorEastAsia" w:eastAsiaTheme="minorEastAsia"/>
                <w:sz w:val="18"/>
                <w:szCs w:val="18"/>
              </w:rPr>
              <w:t>本办法未尽事宜，按财政部令第87号、财库〔2026〕2号文及相关法律法规执行</w:t>
            </w:r>
          </w:p>
        </w:tc>
      </w:tr>
      <w:tr w14:paraId="681BE6B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2BB6E005">
            <w:pPr>
              <w:jc w:val="center"/>
              <w:rPr>
                <w:rFonts w:hint="eastAsia" w:asciiTheme="minorEastAsia" w:hAnsiTheme="minorEastAsia" w:eastAsiaTheme="minorEastAsia"/>
                <w:sz w:val="18"/>
                <w:szCs w:val="18"/>
              </w:rPr>
            </w:pPr>
            <w:r>
              <w:rPr>
                <w:rFonts w:asciiTheme="minorEastAsia" w:hAnsiTheme="minorEastAsia" w:eastAsiaTheme="minorEastAsia"/>
                <w:sz w:val="18"/>
                <w:szCs w:val="18"/>
              </w:rPr>
              <w:t>2</w:t>
            </w:r>
          </w:p>
        </w:tc>
        <w:tc>
          <w:tcPr>
            <w:tcW w:w="7655" w:type="dxa"/>
            <w:tcMar>
              <w:top w:w="60" w:type="dxa"/>
              <w:left w:w="120" w:type="dxa"/>
              <w:bottom w:w="30" w:type="dxa"/>
              <w:right w:w="120" w:type="dxa"/>
            </w:tcMar>
          </w:tcPr>
          <w:p w14:paraId="21BCEEA5">
            <w:pPr>
              <w:rPr>
                <w:rFonts w:hint="eastAsia" w:asciiTheme="minorEastAsia" w:hAnsiTheme="minorEastAsia" w:eastAsiaTheme="minorEastAsia"/>
                <w:sz w:val="18"/>
                <w:szCs w:val="18"/>
              </w:rPr>
            </w:pPr>
            <w:r>
              <w:rPr>
                <w:rFonts w:asciiTheme="minorEastAsia" w:hAnsiTheme="minorEastAsia" w:eastAsiaTheme="minorEastAsia"/>
                <w:sz w:val="18"/>
                <w:szCs w:val="18"/>
              </w:rPr>
              <w:t>评分细则需提前在招标文件中明确，评标过程中不得临时调整</w:t>
            </w:r>
          </w:p>
        </w:tc>
      </w:tr>
      <w:tr w14:paraId="2EB30D9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116ECBDB">
            <w:pPr>
              <w:jc w:val="center"/>
              <w:rPr>
                <w:rFonts w:hint="eastAsia" w:asciiTheme="minorEastAsia" w:hAnsiTheme="minorEastAsia" w:eastAsiaTheme="minorEastAsia"/>
                <w:sz w:val="18"/>
                <w:szCs w:val="18"/>
              </w:rPr>
            </w:pPr>
            <w:r>
              <w:rPr>
                <w:rFonts w:asciiTheme="minorEastAsia" w:hAnsiTheme="minorEastAsia" w:eastAsiaTheme="minorEastAsia"/>
                <w:sz w:val="18"/>
                <w:szCs w:val="18"/>
              </w:rPr>
              <w:t>3</w:t>
            </w:r>
          </w:p>
        </w:tc>
        <w:tc>
          <w:tcPr>
            <w:tcW w:w="7655" w:type="dxa"/>
            <w:tcMar>
              <w:top w:w="60" w:type="dxa"/>
              <w:left w:w="120" w:type="dxa"/>
              <w:bottom w:w="30" w:type="dxa"/>
              <w:right w:w="120" w:type="dxa"/>
            </w:tcMar>
          </w:tcPr>
          <w:p w14:paraId="628F4E13">
            <w:pPr>
              <w:rPr>
                <w:rFonts w:hint="eastAsia" w:asciiTheme="minorEastAsia" w:hAnsiTheme="minorEastAsia" w:eastAsiaTheme="minorEastAsia"/>
                <w:sz w:val="18"/>
                <w:szCs w:val="18"/>
              </w:rPr>
            </w:pPr>
            <w:r>
              <w:rPr>
                <w:rFonts w:asciiTheme="minorEastAsia" w:hAnsiTheme="minorEastAsia" w:eastAsiaTheme="minorEastAsia"/>
                <w:sz w:val="18"/>
                <w:szCs w:val="18"/>
              </w:rPr>
              <w:t>中标候选人公示期内，接受异议投诉，核实违规者取消中标资格</w:t>
            </w:r>
          </w:p>
        </w:tc>
      </w:tr>
    </w:tbl>
    <w:p w14:paraId="261E0A4A">
      <w:pPr>
        <w:widowControl/>
        <w:jc w:val="center"/>
        <w:textAlignment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185188"/>
    <w:rsid w:val="002D32A5"/>
    <w:rsid w:val="00380EC8"/>
    <w:rsid w:val="00396457"/>
    <w:rsid w:val="003C0C7C"/>
    <w:rsid w:val="004D2FA8"/>
    <w:rsid w:val="004D517B"/>
    <w:rsid w:val="0053691E"/>
    <w:rsid w:val="006904E4"/>
    <w:rsid w:val="00720781"/>
    <w:rsid w:val="007B7306"/>
    <w:rsid w:val="008348EF"/>
    <w:rsid w:val="0083760C"/>
    <w:rsid w:val="009C2488"/>
    <w:rsid w:val="00B828D8"/>
    <w:rsid w:val="00C554E7"/>
    <w:rsid w:val="00C951C2"/>
    <w:rsid w:val="00D12531"/>
    <w:rsid w:val="00EB18EC"/>
    <w:rsid w:val="00EE7207"/>
    <w:rsid w:val="00F93D8A"/>
    <w:rsid w:val="00FC4645"/>
    <w:rsid w:val="00FE02F8"/>
    <w:rsid w:val="53807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4">
    <w:name w:val="Normal (Web)"/>
    <w:basedOn w:val="1"/>
    <w:link w:val="10"/>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styleId="9">
    <w:name w:val="Hyperlink"/>
    <w:qFormat/>
    <w:uiPriority w:val="0"/>
    <w:rPr>
      <w:color w:val="0000FF"/>
      <w:u w:val="single"/>
    </w:rPr>
  </w:style>
  <w:style w:type="character" w:customStyle="1" w:styleId="10">
    <w:name w:val="普通(网站) 字符"/>
    <w:link w:val="4"/>
    <w:qFormat/>
    <w:uiPriority w:val="99"/>
    <w:rPr>
      <w:rFonts w:ascii="宋体" w:hAnsi="宋体" w:eastAsia="宋体" w:cs="宋体"/>
      <w:kern w:val="0"/>
      <w:sz w:val="24"/>
      <w:szCs w:val="24"/>
    </w:rPr>
  </w:style>
  <w:style w:type="character" w:customStyle="1" w:styleId="11">
    <w:name w:val="日期 字符"/>
    <w:basedOn w:val="7"/>
    <w:link w:val="2"/>
    <w:semiHidden/>
    <w:qFormat/>
    <w:uiPriority w:val="99"/>
    <w:rPr>
      <w:rFonts w:ascii="Times New Roman" w:hAnsi="Times New Roman" w:eastAsia="宋体" w:cs="Times New Roman"/>
      <w:szCs w:val="24"/>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01B30-E089-4BF1-B75F-E6224AF1F654}">
  <ds:schemaRefs/>
</ds:datastoreItem>
</file>

<file path=docProps/app.xml><?xml version="1.0" encoding="utf-8"?>
<Properties xmlns="http://schemas.openxmlformats.org/officeDocument/2006/extended-properties" xmlns:vt="http://schemas.openxmlformats.org/officeDocument/2006/docPropsVTypes">
  <Template>Normal</Template>
  <Pages>7</Pages>
  <Words>1688</Words>
  <Characters>1832</Characters>
  <Lines>25</Lines>
  <Paragraphs>7</Paragraphs>
  <TotalTime>121</TotalTime>
  <ScaleCrop>false</ScaleCrop>
  <LinksUpToDate>false</LinksUpToDate>
  <CharactersWithSpaces>1833</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一杯白开水</cp:lastModifiedBy>
  <dcterms:modified xsi:type="dcterms:W3CDTF">2026-05-25T00:58:43Z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57555DA003BA405D90B5BC9C710BC8E9_12</vt:lpwstr>
  </property>
</Properties>
</file>