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D2425">
      <w:pPr>
        <w:widowControl w:val="0"/>
        <w:spacing w:after="0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/>
        </w:rPr>
      </w:pPr>
      <w:bookmarkStart w:id="0" w:name="header-n2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/>
        </w:rPr>
        <w:t>昆明市西山区人民医院</w:t>
      </w:r>
    </w:p>
    <w:p w14:paraId="52A7A3FC">
      <w:pPr>
        <w:widowControl w:val="0"/>
        <w:spacing w:after="0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eastAsia="zh-CN"/>
        </w:rPr>
        <w:t>银医合作项目调研公告</w:t>
      </w:r>
    </w:p>
    <w:p w14:paraId="58F12EE3">
      <w:pPr>
        <w:pStyle w:val="3"/>
        <w:rPr>
          <w:rFonts w:hint="eastAsia"/>
          <w:highlight w:val="none"/>
        </w:rPr>
      </w:pPr>
    </w:p>
    <w:p w14:paraId="5E2351A1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为进一步提升我院医疗服务水平，优化患者就医体验，加强财务管理与信息化建设，我院拟开展银医合作项目。现面向社会公开开展市场调研，旨在全面了解各银行在相关领域的服务能力、产品优势、合作方案及资金投入实力，为后续合作方遴选提供科学依据。欢迎符合条件的银行机构积极参与。</w:t>
      </w:r>
    </w:p>
    <w:p w14:paraId="5EC59865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1" w:name="header-n4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一、项目名称</w:t>
      </w:r>
    </w:p>
    <w:p w14:paraId="3FF88331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银医合作项目</w:t>
      </w:r>
    </w:p>
    <w:bookmarkEnd w:id="1"/>
    <w:p w14:paraId="209B55AC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2" w:name="header-n6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二、项目背景</w:t>
      </w:r>
    </w:p>
    <w:p w14:paraId="3C69CA16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随着医疗行业信息化发展，信息技术在医疗服务中的应用日益广泛。为满足患者多样化的支付需求，提高医院资金管理效率，我院计划引入银行的金融服务和技术支持，共同推进银医合作项目建设。合作将引入金融科技，建设覆盖挂号、缴费、结算、对账等全流程的智慧金融服务体系，旨在提升患者就医体验、优化医院运营管理。</w:t>
      </w:r>
    </w:p>
    <w:bookmarkEnd w:id="2"/>
    <w:p w14:paraId="1E0B74DC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3" w:name="header-n8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三、调研内容</w:t>
      </w:r>
    </w:p>
    <w:p w14:paraId="3BDF2056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bookmarkStart w:id="4" w:name="header-n9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（一）金融服务</w:t>
      </w:r>
    </w:p>
    <w:p w14:paraId="60BB40B6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包括但不限于：账户管理、资金结算、现金管理、融资服务（含医院流动性贷款授信额度及利率标准）、增值服务、职工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代发薪酬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服务等。</w:t>
      </w:r>
    </w:p>
    <w:bookmarkEnd w:id="4"/>
    <w:p w14:paraId="7EC6A5D0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bookmarkStart w:id="5" w:name="header-n11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信息化建设支持</w:t>
      </w:r>
    </w:p>
    <w:p w14:paraId="4A1C1BBA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银行对医院信息化建设的投入方案，包括但不限于：</w:t>
      </w:r>
    </w:p>
    <w:p w14:paraId="3642BA08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自助服务终端设备（自助挂号缴费机、报告打印机、壁挂式自助终端等）的投放与维护；</w:t>
      </w:r>
    </w:p>
    <w:p w14:paraId="5BE264DD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统一支付对账平台建设；</w:t>
      </w:r>
    </w:p>
    <w:p w14:paraId="1C4BBAA5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银医直连系统开发；</w:t>
      </w:r>
    </w:p>
    <w:p w14:paraId="5CF4B3A3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系统升级、软件开发等方面的支持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18173338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5.床旁结算系统；</w:t>
      </w:r>
    </w:p>
    <w:p w14:paraId="3A14F1E2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6.收费窗口结算设备（结算终端电脑、医保（刷脸）刷卡器、身份证读卡器等）的投放与维护。</w:t>
      </w:r>
    </w:p>
    <w:bookmarkEnd w:id="5"/>
    <w:p w14:paraId="50958F65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bookmarkStart w:id="6" w:name="header-n22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（三）智慧服务体系建设</w:t>
      </w:r>
    </w:p>
    <w:p w14:paraId="0F130843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支持的身份识别方式（身份证、社保卡、电子健康卡、人脸识别等）；</w:t>
      </w:r>
    </w:p>
    <w:p w14:paraId="27B79AB3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支持的多渠道支付方式（银行卡、微信、支付宝、医保移动支付、医保个账/统筹支付等）；</w:t>
      </w:r>
    </w:p>
    <w:p w14:paraId="1F3C2CD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信用就医服务方案；</w:t>
      </w:r>
    </w:p>
    <w:p w14:paraId="3B02F0D1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与医院HIS、医保等核心系统的对接能力。</w:t>
      </w:r>
    </w:p>
    <w:bookmarkEnd w:id="6"/>
    <w:p w14:paraId="1DD55E4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bookmarkStart w:id="7" w:name="header-n32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（四）配套服务</w:t>
      </w:r>
    </w:p>
    <w:p w14:paraId="5813F2F0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1.工作日免费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上门收款服务；</w:t>
      </w:r>
    </w:p>
    <w:p w14:paraId="3A0263C3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现金调运、零钱兑换服务；</w:t>
      </w:r>
    </w:p>
    <w:p w14:paraId="57945E97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单据收送服务；</w:t>
      </w:r>
    </w:p>
    <w:p w14:paraId="6F35445A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专属服务团队配置及响应机制；</w:t>
      </w:r>
    </w:p>
    <w:p w14:paraId="262B3C9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应急处理机制。</w:t>
      </w:r>
    </w:p>
    <w:bookmarkEnd w:id="3"/>
    <w:bookmarkEnd w:id="7"/>
    <w:p w14:paraId="3EA5B1B8">
      <w:pPr>
        <w:pStyle w:val="4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8" w:name="header-n46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合作资质要求</w:t>
      </w:r>
    </w:p>
    <w:p w14:paraId="6C8DCE01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1.在中华人民共和国境内依法设立的银行机构，持有有效的《金融许可证》及营业执照。</w:t>
      </w:r>
    </w:p>
    <w:p w14:paraId="39D8F2DA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2.具有良好的商业信誉和健全的财务会计制度，提供近三年（2023-2025年）经审计的财务报告，近三年内无重大违法违规记录。</w:t>
      </w:r>
    </w:p>
    <w:p w14:paraId="34E6E7D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3.具备较强的资金实力和风险控制能力，能够为医院提供稳定的金融服务。</w:t>
      </w:r>
    </w:p>
    <w:p w14:paraId="03A3F6E8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4.具备本地化服务能力，在本地区设有常设服务网点，能及时响应医院需求。</w:t>
      </w:r>
    </w:p>
    <w:p w14:paraId="204AE58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5.有丰富的银医合作经验者优先考虑，需提供相关证明材料。</w:t>
      </w:r>
    </w:p>
    <w:p w14:paraId="41BDC73E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6.同名银行只能有一个主体参与调研，同一银行的总行、分行或支行不得重复报名。</w:t>
      </w:r>
    </w:p>
    <w:bookmarkEnd w:id="8"/>
    <w:p w14:paraId="40C826E2">
      <w:pPr>
        <w:pStyle w:val="4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9" w:name="header-n60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合作期限</w:t>
      </w:r>
    </w:p>
    <w:p w14:paraId="36F58050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合作期限拟为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年，自合同签订之日起计算。具体合作方式（一次性投入或分期投入）可在方案中详细阐述。</w:t>
      </w:r>
    </w:p>
    <w:bookmarkEnd w:id="9"/>
    <w:p w14:paraId="766A72F5">
      <w:pPr>
        <w:pStyle w:val="4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10" w:name="header-n62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报名材料</w:t>
      </w:r>
    </w:p>
    <w:p w14:paraId="596FFF4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1.资质证明文件：营业执照复印件、金融许可证复印件、法定代表人身份证明复印件（均需加盖公章）。</w:t>
      </w:r>
    </w:p>
    <w:p w14:paraId="0229AB87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2.合作方案书：详细阐述对本项目的理解、合作思路、服务内容、投入计划（含设备清单、软件清单、预算金额）、实施周期、预期效果等。</w:t>
      </w:r>
    </w:p>
    <w:p w14:paraId="2A3E8F7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3.财务状况证明：近三年（2023-2025年）经审计的财务报告或财务报表。</w:t>
      </w:r>
    </w:p>
    <w:p w14:paraId="681A21F0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4.成功案例材料：提供2023年以来银医合作项目的合同复印件（关键页）、中标通知书或客户评价等证明材料。</w:t>
      </w:r>
    </w:p>
    <w:p w14:paraId="6053F52E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5.其他材料：银行认为有助于说明自身优势和能力的其他相关材料（</w:t>
      </w:r>
      <w:r>
        <w:rPr>
          <w:rFonts w:ascii="仿宋" w:hAnsi="仿宋" w:eastAsia="仿宋"/>
          <w:b w:val="0"/>
          <w:sz w:val="32"/>
          <w:highlight w:val="none"/>
        </w:rPr>
        <w:t>如获奖证书、资质认证、信用评级报告等）。</w:t>
      </w:r>
    </w:p>
    <w:bookmarkEnd w:id="10"/>
    <w:p w14:paraId="0D36109C">
      <w:pPr>
        <w:pStyle w:val="4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11" w:name="header-n74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报名方式、时间及联系方式</w:t>
      </w:r>
    </w:p>
    <w:p w14:paraId="6C52733E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bookmarkStart w:id="12" w:name="header-n75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（一）报名方式</w:t>
      </w:r>
      <w:bookmarkStart w:id="17" w:name="_GoBack"/>
      <w:bookmarkEnd w:id="17"/>
    </w:p>
    <w:bookmarkEnd w:id="12"/>
    <w:p w14:paraId="7FD2A386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3" w:name="header-n82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报名材料按以下要求提交：</w:t>
      </w:r>
    </w:p>
    <w:p w14:paraId="7C76C004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 纸质版材料装订成册，一式三份，密封递交（密封袋外须注明项目名称、银行名称、联系人及联系电话）。</w:t>
      </w:r>
    </w:p>
    <w:p w14:paraId="1DEA59A8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 可线下或者线上方式提交。线上提交：材料发送至邮箱：398025035@qq.com，邮件主题注明"银医合作项目调研报名材料"字样，线下递交至指定地点。</w:t>
      </w:r>
    </w:p>
    <w:p w14:paraId="67C16D43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（二）报名时间</w:t>
      </w:r>
    </w:p>
    <w:p w14:paraId="2A937FCF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自公告发布之日起至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2026年8月7日17时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止，逾期不予受理（时间以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收到纸质材料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的时间为准）。</w:t>
      </w:r>
    </w:p>
    <w:p w14:paraId="56520C09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（三）递交地点</w:t>
      </w:r>
    </w:p>
    <w:p w14:paraId="077B3831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昆明市西山区益宁路与西苑浦路交叉口西北侧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昆明市西山区人民医院门诊行政楼四楼财务部4001室</w:t>
      </w:r>
    </w:p>
    <w:bookmarkEnd w:id="13"/>
    <w:p w14:paraId="34997E56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4" w:name="header-n84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（四）联系人</w:t>
      </w:r>
    </w:p>
    <w:p w14:paraId="2A3FBF1C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蒋老师15198850722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（报名及材料咨询）</w:t>
      </w:r>
    </w:p>
    <w:p w14:paraId="42BD928A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陈老师13648806834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（技术问题咨询）</w:t>
      </w:r>
    </w:p>
    <w:bookmarkEnd w:id="11"/>
    <w:bookmarkEnd w:id="14"/>
    <w:p w14:paraId="5E30100D">
      <w:pPr>
        <w:pStyle w:val="4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bookmarkStart w:id="15" w:name="header-n94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其他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说明</w:t>
      </w:r>
    </w:p>
    <w:p w14:paraId="32A5205C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调研性质声明：本次调研仅为项目前期市场信息收集，不构成任何采购承诺。医院将根据调研情况，综合评估后确定后续合作事宜。各单位提供的相关产品信息仅有助于提高本单位对该产品的认知，不作为本单位采购行为的任何承诺。</w:t>
      </w:r>
    </w:p>
    <w:p w14:paraId="4D1822A9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真实性承诺：参与调研的银行应保证所提供材料的真实性、完整性和准确性，如有虚假，将取消其参与资格，医院保留追究相关责任的权利。</w:t>
      </w:r>
    </w:p>
    <w:p w14:paraId="4A1F4BF1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材料审核：医院有权对报名材料进行审核，对不符合要求的报名材料，将不予受理。</w:t>
      </w:r>
    </w:p>
    <w:p w14:paraId="60833F96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后续安排：通过资格审核的银行，医院将另行通知现场调研或方案讲解的具体时间、地点。现场调研时，银行可准备PPT进行方案介绍，介绍时间一般不超过15-20分钟。</w:t>
      </w:r>
    </w:p>
    <w:p w14:paraId="4E647427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费用说明：本次调研不收取任何费用，参与调研所产生的所有费用由报名银行自行承担。</w:t>
      </w:r>
    </w:p>
    <w:p w14:paraId="54D92F8C">
      <w:pPr>
        <w:pStyle w:val="2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解释权：医院有权根据实际情况调整调研安排，并保留最终解释权。</w:t>
      </w:r>
    </w:p>
    <w:bookmarkEnd w:id="15"/>
    <w:p w14:paraId="7827017B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bookmarkStart w:id="16" w:name="header-n110"/>
    </w:p>
    <w:bookmarkEnd w:id="0"/>
    <w:bookmarkEnd w:id="16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宋体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928FAA8-4398-4194-A5CE-F6C6FAE0127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712BF35-1088-4766-8557-E5C70C4B17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07D2FD7-6BCE-4469-B6B1-4381ADDB1487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C3C4AB"/>
    <w:multiLevelType w:val="singleLevel"/>
    <w:tmpl w:val="9EC3C4A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numRestart w:val="eachSect"/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726F0"/>
    <w:rsid w:val="03035935"/>
    <w:rsid w:val="03C30C20"/>
    <w:rsid w:val="06976AC0"/>
    <w:rsid w:val="07462294"/>
    <w:rsid w:val="08444A26"/>
    <w:rsid w:val="0A2A7C4B"/>
    <w:rsid w:val="0B2655BB"/>
    <w:rsid w:val="0E8042DE"/>
    <w:rsid w:val="1D0810D9"/>
    <w:rsid w:val="21957C48"/>
    <w:rsid w:val="26E93599"/>
    <w:rsid w:val="2C66290D"/>
    <w:rsid w:val="2EF91817"/>
    <w:rsid w:val="315C42DF"/>
    <w:rsid w:val="3363346B"/>
    <w:rsid w:val="33947D60"/>
    <w:rsid w:val="33ED56C2"/>
    <w:rsid w:val="34140EA1"/>
    <w:rsid w:val="35CB1A33"/>
    <w:rsid w:val="3B64320C"/>
    <w:rsid w:val="3CAD1E92"/>
    <w:rsid w:val="427C033D"/>
    <w:rsid w:val="48E1539E"/>
    <w:rsid w:val="491F5EC6"/>
    <w:rsid w:val="4BCA036B"/>
    <w:rsid w:val="521A722A"/>
    <w:rsid w:val="57FC0514"/>
    <w:rsid w:val="5BE663CF"/>
    <w:rsid w:val="5D465377"/>
    <w:rsid w:val="5F294666"/>
    <w:rsid w:val="664D7777"/>
    <w:rsid w:val="67654F94"/>
    <w:rsid w:val="77CD0717"/>
    <w:rsid w:val="79161BFE"/>
    <w:rsid w:val="7BAC2D3A"/>
    <w:rsid w:val="7CED32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156082" w:themeColor="accent1"/>
      <w14:textFill>
        <w14:solidFill>
          <w14:schemeClr w14:val="accent1"/>
        </w14:solidFill>
      </w14:textFill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2">
    <w:name w:val="Heading 2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3">
    <w:name w:val="Heading 3 Char"/>
    <w:basedOn w:val="19"/>
    <w:link w:val="5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35">
    <w:name w:val="Heading 5 Char"/>
    <w:basedOn w:val="19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Heading 7 Char"/>
    <w:basedOn w:val="19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Heading 8 Char"/>
    <w:basedOn w:val="19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9">
    <w:name w:val="Heading 9 Char"/>
    <w:basedOn w:val="19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104862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2003</Words>
  <Characters>2095</Characters>
  <Lines>12</Lines>
  <Paragraphs>8</Paragraphs>
  <TotalTime>5</TotalTime>
  <ScaleCrop>false</ScaleCrop>
  <LinksUpToDate>false</LinksUpToDate>
  <CharactersWithSpaces>2098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2026-05-18T07:12:00Z</dcterms:created>
  <dc:creator>十三少</dc:creator>
  <cp:lastModifiedBy>晓漩沨^O^</cp:lastModifiedBy>
  <dcterms:modified xsi:type="dcterms:W3CDTF">2026-07-22T02:54:43Z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eyJoZGlkIjoiNDdiMjk2YjdhZGY2ZGMzMDA3OWQ3ZjlhNjI5YzA3YTkiLCJ1c2VySWQiOiIzODc0Mjk4MDgifQ==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14AC4AD53CA84CEC8FA7BCD2C9AC5810_13</vt:lpwstr>
  </property>
</Properties>
</file>